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Der Beobachter in zwei Deutungen</w:t>
      </w:r>
      <w:r>
        <w:br/>
      </w:r>
      <w:r>
        <w:t xml:space="preserve">Modallogik der Messung bei Kopenhagen und MWI</w:t>
      </w:r>
    </w:p>
    <w:p>
      <w:pPr>
        <w:pStyle w:val="Subtitle"/>
      </w:pPr>
      <w:r>
        <w:t xml:space="preserve">Modallogik der Messung bei Kopenhagen und MWI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DieZeitlosigkeitDerSteine2.md spielt der Beobachter eine zentrale</w:t>
      </w:r>
      <w:r>
        <w:t xml:space="preserve"> </w:t>
      </w:r>
      <w:r>
        <w:t xml:space="preserve">Rolle — aber nur in der DeLillo-Perspektive. Das ist die Kopenhagener</w:t>
      </w:r>
      <w:r>
        <w:t xml:space="preserve"> </w:t>
      </w:r>
      <w:r>
        <w:t xml:space="preserve">Seite: Ohne Beobachter keine Messung, ohne Messung kein Kollaps, ohne</w:t>
      </w:r>
      <w:r>
        <w:t xml:space="preserve"> </w:t>
      </w:r>
      <w:r>
        <w:t xml:space="preserve">Kollaps keine Wirklichkeit. Der Beobachter ist konstitutiv. In der</w:t>
      </w:r>
      <w:r>
        <w:t xml:space="preserve"> </w:t>
      </w:r>
      <w:r>
        <w:t xml:space="preserve">Van-Dormael-Perspektive (MWI) gibt es keinen ausgezeichneten Beobachter.</w:t>
      </w:r>
      <w:r>
        <w:t xml:space="preserve"> </w:t>
      </w:r>
      <w:r>
        <w:t xml:space="preserve">Alle Welten existieren unabhängig davon, ob sie beobachtet werden. Die</w:t>
      </w:r>
      <w:r>
        <w:t xml:space="preserve"> </w:t>
      </w:r>
      <w:r>
        <w:t xml:space="preserve">vorliegende Abhandlung führt zwei Beobachter-Operatoren B_D und B_V ein</w:t>
      </w:r>
      <w:r>
        <w:t xml:space="preserve"> </w:t>
      </w:r>
      <w:r>
        <w:t xml:space="preserve">und beweist: In S5+SP+B_D ist die Trinität notwendig. In S5+SP+B_V ist</w:t>
      </w:r>
      <w:r>
        <w:t xml:space="preserve"> </w:t>
      </w:r>
      <w:r>
        <w:t xml:space="preserve">die Trinität auch notwendig, aber aus anderen Gründen. Die metaphysische</w:t>
      </w:r>
      <w:r>
        <w:t xml:space="preserve"> </w:t>
      </w:r>
      <w:r>
        <w:t xml:space="preserve">Konsequenz: Die Notwendigkeit der Trinität ist nicht an eine bestimmte</w:t>
      </w:r>
      <w:r>
        <w:t xml:space="preserve"> </w:t>
      </w:r>
      <w:r>
        <w:t xml:space="preserve">Beobachterkonzeption gebunden. Beide Perspektiven führen zur selben</w:t>
      </w:r>
      <w:r>
        <w:t xml:space="preserve"> </w:t>
      </w:r>
      <w:r>
        <w:t xml:space="preserve">Struktur.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Vergangenheit und Zukunft sind Horizonte des Wissens.</w:t>
      </w:r>
      <w:r>
        <w:br/>
      </w:r>
      <w:r>
        <w:rPr>
          <w:i/>
          <w:iCs/>
        </w:rPr>
        <w:t xml:space="preserve">Die Gegenwart ist der Ort der Wirklichkeit.</w:t>
      </w:r>
      <w:r>
        <w:br/>
      </w:r>
      <w:r>
        <w:rPr>
          <w:i/>
          <w:iCs/>
        </w:rPr>
        <w:t xml:space="preserve">Nichts, was war, geht verloren.</w:t>
      </w:r>
    </w:p>
    <w:bookmarkStart w:id="9" w:name="vorwort-die-rolle-des-beobachters"/>
    <w:p>
      <w:pPr>
        <w:pStyle w:val="Heading1"/>
      </w:pPr>
      <w:r>
        <w:t xml:space="preserve">Vorwort: Die Rolle des Beobachters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DieZeitlosigkeitDerSteine2.md</w:t>
      </w:r>
      <w:r>
        <w:t xml:space="preserve"> </w:t>
      </w:r>
      <w:r>
        <w:t xml:space="preserve">spielt der Beobachter eine zentrale Rolle — aber nur in der</w:t>
      </w:r>
      <w:r>
        <w:t xml:space="preserve"> </w:t>
      </w:r>
      <w:r>
        <w:rPr>
          <w:b/>
          <w:bCs/>
        </w:rPr>
        <w:t xml:space="preserve">DeLillo-Perspektive</w:t>
      </w:r>
      <w:r>
        <w:t xml:space="preserve">. Das ist die</w:t>
      </w:r>
      <w:r>
        <w:t xml:space="preserve"> </w:t>
      </w:r>
      <w:r>
        <w:rPr>
          <w:b/>
          <w:bCs/>
        </w:rPr>
        <w:t xml:space="preserve">Kopenhagener Seite</w:t>
      </w:r>
      <w:r>
        <w:t xml:space="preserve"> </w:t>
      </w:r>
      <w:r>
        <w:t xml:space="preserve">der Quantenmechanik: Ohne Beobachter keine Messung, ohne Messung kein Kollaps, ohne Kollaps keine Wirklichkeit. Der Beobachter ist</w:t>
      </w:r>
      <w:r>
        <w:t xml:space="preserve"> </w:t>
      </w:r>
      <w:r>
        <w:rPr>
          <w:b/>
          <w:bCs/>
        </w:rPr>
        <w:t xml:space="preserve">konstitutiv</w:t>
      </w:r>
      <w:r>
        <w:t xml:space="preserve">.</w:t>
      </w:r>
    </w:p>
    <w:p>
      <w:pPr>
        <w:pStyle w:val="BodyText"/>
      </w:pPr>
      <w:r>
        <w:t xml:space="preserve">In der</w:t>
      </w:r>
      <w:r>
        <w:t xml:space="preserve"> </w:t>
      </w:r>
      <w:r>
        <w:rPr>
          <w:b/>
          <w:bCs/>
        </w:rPr>
        <w:t xml:space="preserve">Van-Dormael-Perspektive</w:t>
      </w:r>
      <w:r>
        <w:t xml:space="preserve"> </w:t>
      </w:r>
      <w:r>
        <w:t xml:space="preserve">(Viele-Welten-Interpretation, MWI) gibt es</w:t>
      </w:r>
      <w:r>
        <w:t xml:space="preserve"> </w:t>
      </w:r>
      <w:r>
        <w:rPr>
          <w:b/>
          <w:bCs/>
        </w:rPr>
        <w:t xml:space="preserve">keinen ausgezeichneten Beobachter</w:t>
      </w:r>
      <w:r>
        <w:t xml:space="preserve">. Alle Welten existieren unabhängig davon, ob sie beobachtet werden. Der Beobachter ist selbst Teil der Verzweigung.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modal9.md</w:t>
      </w:r>
      <w:r>
        <w:t xml:space="preserve"> </w:t>
      </w:r>
      <w:r>
        <w:t xml:space="preserve">wurde gezeigt: Die beiden Perspektiven sind</w:t>
      </w:r>
      <w:r>
        <w:t xml:space="preserve"> </w:t>
      </w:r>
      <w:r>
        <w:rPr>
          <w:b/>
          <w:bCs/>
        </w:rPr>
        <w:t xml:space="preserve">nicht vereinbar</w:t>
      </w:r>
      <w:r>
        <w:t xml:space="preserve">, aber</w:t>
      </w:r>
      <w:r>
        <w:t xml:space="preserve"> </w:t>
      </w:r>
      <w:r>
        <w:rPr>
          <w:b/>
          <w:bCs/>
        </w:rPr>
        <w:t xml:space="preserve">gleichzeitig wahr</w:t>
      </w:r>
      <w:r>
        <w:t xml:space="preserve">. In</w:t>
      </w:r>
      <w:r>
        <w:t xml:space="preserve"> </w:t>
      </w:r>
      <w:r>
        <w:rPr>
          <w:rStyle w:val="VerbatimChar"/>
        </w:rPr>
        <w:t xml:space="preserve">modal13.md</w:t>
      </w:r>
      <w:r>
        <w:t xml:space="preserve"> </w:t>
      </w:r>
      <w:r>
        <w:t xml:space="preserve">wenden wir diese Unterscheidung auf den</w:t>
      </w:r>
      <w:r>
        <w:t xml:space="preserve"> </w:t>
      </w:r>
      <w:r>
        <w:rPr>
          <w:b/>
          <w:bCs/>
        </w:rPr>
        <w:t xml:space="preserve">Beobachter</w:t>
      </w:r>
      <w:r>
        <w:t xml:space="preserve"> </w:t>
      </w:r>
      <w:r>
        <w:t xml:space="preserve">an.</w:t>
      </w:r>
    </w:p>
    <w:p>
      <w:pPr>
        <w:pStyle w:val="BodyText"/>
      </w:pPr>
      <w:r>
        <w:t xml:space="preserve">Die zentrale Aussage dieser Abhandlung lautet:</w:t>
      </w:r>
    </w:p>
    <w:p>
      <w:pPr>
        <w:pStyle w:val="BlockText"/>
      </w:pPr>
      <w:r>
        <w:rPr>
          <w:b/>
          <w:bCs/>
        </w:rPr>
        <w:t xml:space="preserve">Die Notwendigkeit der Trinität ist nicht an eine bestimmte Beobachterkonzeption gebunden. In S5+SP+B_D ist die Trinität notwendig aus konstitutiven Gründen. In S5+SP+B_V ist sie notwendig aus strukturellen Gründen. Beide Perspektiven führen zur selben Struktur.</w:t>
      </w:r>
    </w:p>
    <w:p>
      <w:pPr>
        <w:pStyle w:val="FirstParagraph"/>
      </w:pPr>
      <w:r>
        <w:t xml:space="preserve">Die Untersuchung bleibt dem Selbstverständnis von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treu: Sie zeigt</w:t>
      </w:r>
      <w:r>
        <w:t xml:space="preserve"> </w:t>
      </w:r>
      <w:r>
        <w:rPr>
          <w:b/>
          <w:bCs/>
        </w:rPr>
        <w:t xml:space="preserve">Abhängigkeiten</w:t>
      </w:r>
      <w:r>
        <w:t xml:space="preserve">, nicht Wahrheiten. Sie zeigt, dass der Beobachter</w:t>
      </w:r>
      <w:r>
        <w:t xml:space="preserve"> </w:t>
      </w:r>
      <w:r>
        <w:rPr>
          <w:b/>
          <w:bCs/>
        </w:rPr>
        <w:t xml:space="preserve">kein Fundament</w:t>
      </w:r>
      <w:r>
        <w:t xml:space="preserve"> </w:t>
      </w:r>
      <w:r>
        <w:t xml:space="preserve">ist, sondern eine</w:t>
      </w:r>
      <w:r>
        <w:t xml:space="preserve"> </w:t>
      </w:r>
      <w:r>
        <w:rPr>
          <w:b/>
          <w:bCs/>
        </w:rPr>
        <w:t xml:space="preserve">Perspektive</w:t>
      </w:r>
      <w:r>
        <w:t xml:space="preserve">.</w:t>
      </w:r>
    </w:p>
    <w:bookmarkEnd w:id="9"/>
    <w:bookmarkStart w:id="14" w:name="zwei-beobachter-operatoren"/>
    <w:p>
      <w:pPr>
        <w:pStyle w:val="Heading1"/>
      </w:pPr>
      <w:r>
        <w:t xml:space="preserve">Zwei Beobachter-Operatoren</w:t>
      </w:r>
    </w:p>
    <w:bookmarkStart w:id="10" w:name="die-grundidee"/>
    <w:p>
      <w:pPr>
        <w:pStyle w:val="Heading2"/>
      </w:pPr>
      <w:r>
        <w:t xml:space="preserve">Die Grundidee</w:t>
      </w:r>
    </w:p>
    <w:p>
      <w:pPr>
        <w:pStyle w:val="FirstParagraph"/>
      </w:pPr>
      <w:r>
        <w:t xml:space="preserve">Die klassische Modallogik hat</w:t>
      </w:r>
      <w:r>
        <w:t xml:space="preserve"> </w:t>
      </w:r>
      <w:r>
        <w:rPr>
          <w:b/>
          <w:bCs/>
        </w:rPr>
        <w:t xml:space="preserve">einen</w:t>
      </w:r>
      <w:r>
        <w:t xml:space="preserve"> </w:t>
      </w:r>
      <w:r>
        <w:t xml:space="preserve">Notwendigkeitsoperator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. Die</w:t>
      </w:r>
      <w:r>
        <w:t xml:space="preserve"> </w:t>
      </w:r>
      <w:r>
        <w:rPr>
          <w:b/>
          <w:bCs/>
        </w:rPr>
        <w:t xml:space="preserve">Beobachter-Modallogik</w:t>
      </w:r>
      <w:r>
        <w:t xml:space="preserve"> </w:t>
      </w:r>
      <w:r>
        <w:t xml:space="preserve">hat</w:t>
      </w:r>
      <w:r>
        <w:t xml:space="preserve"> </w:t>
      </w:r>
      <w:r>
        <w:rPr>
          <w:b/>
          <w:bCs/>
        </w:rPr>
        <w:t xml:space="preserve">zwei</w:t>
      </w:r>
      <w:r>
        <w:t xml:space="preserve"> </w:t>
      </w:r>
      <w:r>
        <w:t xml:space="preserve">Operatoren — einen für jede Beobachterkonzeption.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w:r>
        <w:t xml:space="preserve">Der Beobachter ist nicht ein einzelner Modus, sondern eine</w:t>
      </w:r>
      <w:r>
        <w:t xml:space="preserve"> </w:t>
      </w:r>
      <w:r>
        <w:rPr>
          <w:b/>
          <w:bCs/>
        </w:rPr>
        <w:t xml:space="preserve">Familie von Modi</w:t>
      </w:r>
      <w:r>
        <w:t xml:space="preserve">.</w:t>
      </w:r>
    </w:p>
    <w:bookmarkEnd w:id="10"/>
    <w:bookmarkStart w:id="11" w:name="die-sprache"/>
    <w:p>
      <w:pPr>
        <w:pStyle w:val="Heading2"/>
      </w:pPr>
      <w:r>
        <w:t xml:space="preserve">Die Sprache</w:t>
      </w:r>
    </w:p>
    <w:p>
      <w:pPr>
        <w:pStyle w:val="FirstParagraph"/>
      </w:pPr>
      <w:r>
        <w:t xml:space="preserve">Wir erweitern die Sprache von S5+SP um</w:t>
      </w:r>
      <w:r>
        <w:t xml:space="preserve"> </w:t>
      </w:r>
      <w:r>
        <w:rPr>
          <w:b/>
          <w:bCs/>
        </w:rPr>
        <w:t xml:space="preserve">zwei</w:t>
      </w:r>
      <w:r>
        <w:t xml:space="preserve"> </w:t>
      </w:r>
      <w:r>
        <w:t xml:space="preserve">Beobachter-Operatoren: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  <m:r>
          <m:t>p</m:t>
        </m:r>
      </m:oMath>
      <w:r>
        <w:t xml:space="preserve">:</w:t>
      </w:r>
      <w:r>
        <w:t xml:space="preserve"> </w:t>
      </w:r>
      <w:r>
        <w:t xml:space="preserve">“p gilt unter dem DeLillo-Beobachter (konstitutiv).”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  <m:r>
          <m:t>p</m:t>
        </m:r>
      </m:oMath>
      <w:r>
        <w:t xml:space="preserve">:</w:t>
      </w:r>
      <w:r>
        <w:t xml:space="preserve"> </w:t>
      </w:r>
      <w:r>
        <w:t xml:space="preserve">“p gilt unter dem Van-Dormael-Beobachter (nicht-konstitutiv).”</w:t>
      </w:r>
    </w:p>
    <w:p>
      <w:pPr>
        <w:pStyle w:val="FirstParagraph"/>
      </w:pPr>
      <w:r>
        <w:rPr>
          <w:b/>
          <w:bCs/>
        </w:rPr>
        <w:t xml:space="preserve">Wichtig:</w:t>
      </w:r>
      <w:r>
        <w:t xml:space="preserve"> </w:t>
      </w:r>
      <w:r>
        <w:t xml:space="preserve">Diese Operatoren sind</w:t>
      </w:r>
      <w:r>
        <w:t xml:space="preserve"> </w:t>
      </w:r>
      <w:r>
        <w:rPr>
          <w:b/>
          <w:bCs/>
        </w:rPr>
        <w:t xml:space="preserve">modal</w:t>
      </w:r>
      <w:r>
        <w:t xml:space="preserve"> </w:t>
      </w:r>
      <w:r>
        <w:t xml:space="preserve">— sie beschreiben die Rolle des Beobachters in der Struktur der Wirklichkeit.</w:t>
      </w:r>
    </w:p>
    <w:bookmarkEnd w:id="11"/>
    <w:bookmarkStart w:id="12" w:name="die-semantik"/>
    <w:p>
      <w:pPr>
        <w:pStyle w:val="Heading2"/>
      </w:pPr>
      <w:r>
        <w:t xml:space="preserve">Die Semantik</w:t>
      </w:r>
    </w:p>
    <w:p>
      <w:pPr>
        <w:pStyle w:val="FirstParagraph"/>
      </w:pPr>
      <w:r>
        <w:t xml:space="preserve">Die beiden Operatoren haben</w:t>
      </w:r>
      <w:r>
        <w:t xml:space="preserve"> </w:t>
      </w:r>
      <w:r>
        <w:rPr>
          <w:b/>
          <w:bCs/>
        </w:rPr>
        <w:t xml:space="preserve">verschiedene</w:t>
      </w:r>
      <w:r>
        <w:t xml:space="preserve"> </w:t>
      </w:r>
      <w:r>
        <w:t xml:space="preserve">Semantiken: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nor/>
                  <m:sty m:val="p"/>
                </m:rPr>
                <m:t>der Beobachter in </m:t>
              </m:r>
              <m:r>
                <m:t>w</m:t>
              </m:r>
              <m:r>
                <m:rPr>
                  <m:nor/>
                  <m:sty m:val="p"/>
                </m:rPr>
                <m:t> konstituiert </m:t>
              </m:r>
              <m:r>
                <m:t>p</m:t>
              </m:r>
            </m:e>
            <m:e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t>p</m:t>
              </m:r>
              <m:r>
                <m:rPr>
                  <m:nor/>
                  <m:sty m:val="p"/>
                </m:rPr>
                <m:t> gilt strukturell in </m:t>
              </m:r>
              <m:r>
                <m:t>w</m:t>
              </m:r>
              <m:r>
                <m:rPr>
                  <m:nor/>
                  <m:sty m:val="p"/>
                </m:rPr>
                <m:t>, unabhängig vom Beobachter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Erläuterung: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  <m:r>
          <m:t>p</m:t>
        </m:r>
      </m:oMath>
      <w:r>
        <w:t xml:space="preserve">: p gilt,</w:t>
      </w:r>
      <w:r>
        <w:t xml:space="preserve"> </w:t>
      </w:r>
      <w:r>
        <w:rPr>
          <w:b/>
          <w:bCs/>
        </w:rPr>
        <w:t xml:space="preserve">weil</w:t>
      </w:r>
      <w:r>
        <w:t xml:space="preserve"> </w:t>
      </w:r>
      <w:r>
        <w:t xml:space="preserve">der Beobachter es konstituiert.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  <m:r>
          <m:t>p</m:t>
        </m:r>
      </m:oMath>
      <w:r>
        <w:t xml:space="preserve">: p gilt</w:t>
      </w:r>
      <w:r>
        <w:t xml:space="preserve"> </w:t>
      </w:r>
      <w:r>
        <w:rPr>
          <w:b/>
          <w:bCs/>
        </w:rPr>
        <w:t xml:space="preserve">strukturell</w:t>
      </w:r>
      <w:r>
        <w:t xml:space="preserve">, auch ohne Beobachter.</w:t>
      </w:r>
    </w:p>
    <w:bookmarkEnd w:id="12"/>
    <w:bookmarkStart w:id="13" w:name="die-beiden-beobachterkonzeptionen"/>
    <w:p>
      <w:pPr>
        <w:pStyle w:val="Heading2"/>
      </w:pPr>
      <w:r>
        <w:t xml:space="preserve">Die beiden Beobachterkonzeptionen</w:t>
      </w:r>
    </w:p>
    <w:p>
      <w:pPr>
        <w:pStyle w:val="FirstParagraph"/>
      </w:pPr>
      <w:r>
        <w:rPr>
          <w:b/>
          <w:bCs/>
        </w:rPr>
        <w:t xml:space="preserve">DeLillo-Beobachter (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rPr>
          <w:b/>
          <w:bCs/>
        </w:rPr>
        <w:t xml:space="preserve">):</w:t>
      </w:r>
      <w:r>
        <w:t xml:space="preserve"> </w:t>
      </w:r>
      <w:r>
        <w:t xml:space="preserve">Der Beobachter ist</w:t>
      </w:r>
      <w:r>
        <w:t xml:space="preserve"> </w:t>
      </w:r>
      <w:r>
        <w:rPr>
          <w:b/>
          <w:bCs/>
        </w:rPr>
        <w:t xml:space="preserve">konstitutiv</w:t>
      </w:r>
      <w:r>
        <w:t xml:space="preserve">. Ohne ihn gibt es keine Wirklichkeit. Er ist notwendig für den Kollaps der Wellenfunktion. Er ist ein</w:t>
      </w:r>
      <w:r>
        <w:t xml:space="preserve"> </w:t>
      </w:r>
      <w:r>
        <w:rPr>
          <w:b/>
          <w:bCs/>
        </w:rPr>
        <w:t xml:space="preserve">singuläres Ereignis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Van-Dormael-Beobachter (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rPr>
          <w:b/>
          <w:bCs/>
        </w:rPr>
        <w:t xml:space="preserve">):</w:t>
      </w:r>
      <w:r>
        <w:t xml:space="preserve"> </w:t>
      </w:r>
      <w:r>
        <w:t xml:space="preserve">Der Beobachter ist</w:t>
      </w:r>
      <w:r>
        <w:t xml:space="preserve"> </w:t>
      </w:r>
      <w:r>
        <w:rPr>
          <w:b/>
          <w:bCs/>
        </w:rPr>
        <w:t xml:space="preserve">nicht-konstitutiv</w:t>
      </w:r>
      <w:r>
        <w:t xml:space="preserve">. Er ist selbst Teil der Verzweigung. Jede Welt hat ihren eigenen Beobachter. Er ist</w:t>
      </w:r>
      <w:r>
        <w:t xml:space="preserve"> </w:t>
      </w:r>
      <w:r>
        <w:rPr>
          <w:b/>
          <w:bCs/>
        </w:rPr>
        <w:t xml:space="preserve">multipel</w:t>
      </w:r>
      <w:r>
        <w:t xml:space="preserve">.</w:t>
      </w:r>
    </w:p>
    <w:bookmarkEnd w:id="13"/>
    <w:bookmarkEnd w:id="14"/>
    <w:bookmarkStart w:id="19" w:name="die-axiome-b1b4"/>
    <w:p>
      <w:pPr>
        <w:pStyle w:val="Heading1"/>
      </w:pPr>
      <w:r>
        <w:t xml:space="preserve">Die Axiome B1–B4</w:t>
      </w:r>
    </w:p>
    <w:bookmarkStart w:id="15" w:name="X5fb521493ada3157f7d041e9d7eb837c8215d74"/>
    <w:p>
      <w:pPr>
        <w:pStyle w:val="Heading2"/>
      </w:pPr>
      <w:r>
        <w:t xml:space="preserve">B1: Konstitutivität impliziert Wirklichkeit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B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Wenn der DeLillo-Beobachter p konstituiert, dann gilt p.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Der konstitutive Beobachter</w:t>
      </w:r>
      <w:r>
        <w:t xml:space="preserve"> </w:t>
      </w:r>
      <w:r>
        <w:rPr>
          <w:b/>
          <w:bCs/>
        </w:rPr>
        <w:t xml:space="preserve">erzeugt</w:t>
      </w:r>
      <w:r>
        <w:t xml:space="preserve"> </w:t>
      </w:r>
      <w:r>
        <w:t xml:space="preserve">Wirklichkeit. Was er konstituiert, ist wirklich.</w:t>
      </w:r>
    </w:p>
    <w:bookmarkEnd w:id="15"/>
    <w:bookmarkStart w:id="16" w:name="b2-struktur-impliziert-wirklichkeit"/>
    <w:p>
      <w:pPr>
        <w:pStyle w:val="Heading2"/>
      </w:pPr>
      <w:r>
        <w:t xml:space="preserve">B2: Struktur impliziert Wirklichkeit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B</m:t>
              </m:r>
              <m:r>
                <m:t>2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Wenn p strukturell gilt, dann gilt p.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Die strukturelle Wirklichkeit ist</w:t>
      </w:r>
      <w:r>
        <w:t xml:space="preserve"> </w:t>
      </w:r>
      <w:r>
        <w:rPr>
          <w:b/>
          <w:bCs/>
        </w:rPr>
        <w:t xml:space="preserve">unabhängig</w:t>
      </w:r>
      <w:r>
        <w:t xml:space="preserve"> </w:t>
      </w:r>
      <w:r>
        <w:t xml:space="preserve">vom Beobachter. Sie gilt auch dann, wenn niemand sie beobachtet.</w:t>
      </w:r>
    </w:p>
    <w:bookmarkEnd w:id="16"/>
    <w:bookmarkStart w:id="17" w:name="b3-beobachter-relativität"/>
    <w:p>
      <w:pPr>
        <w:pStyle w:val="Heading2"/>
      </w:pPr>
      <w:r>
        <w:t xml:space="preserve">B3: Beobachter-Relativität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B</m:t>
              </m:r>
              <m:r>
                <m:t>3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↔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Die beiden Beobachterkonzeptionen sind</w:t>
      </w:r>
      <w:r>
        <w:t xml:space="preserve"> </w:t>
      </w:r>
      <w:r>
        <w:rPr>
          <w:b/>
          <w:bCs/>
        </w:rPr>
        <w:t xml:space="preserve">äquivalent</w:t>
      </w:r>
      <w:r>
        <w:t xml:space="preserve"> </w:t>
      </w:r>
      <w:r>
        <w:t xml:space="preserve">— sie führen zu denselben Aussagen.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Obwohl die beiden Konzeptionen verschieden sind, führen sie zu</w:t>
      </w:r>
      <w:r>
        <w:t xml:space="preserve"> </w:t>
      </w:r>
      <w:r>
        <w:rPr>
          <w:b/>
          <w:bCs/>
        </w:rPr>
        <w:t xml:space="preserve">denselben</w:t>
      </w:r>
      <w:r>
        <w:t xml:space="preserve"> </w:t>
      </w:r>
      <w:r>
        <w:t xml:space="preserve">Aussagen. Die Wirklichkeit ist</w:t>
      </w:r>
      <w:r>
        <w:t xml:space="preserve"> </w:t>
      </w:r>
      <w:r>
        <w:rPr>
          <w:b/>
          <w:bCs/>
        </w:rPr>
        <w:t xml:space="preserve">beobachterkonzeptions-invariant</w:t>
      </w:r>
      <w:r>
        <w:t xml:space="preserve">.</w:t>
      </w:r>
    </w:p>
    <w:bookmarkEnd w:id="17"/>
    <w:bookmarkStart w:id="18" w:name="b4-trinität-unter-beiden-beobachtern"/>
    <w:p>
      <w:pPr>
        <w:pStyle w:val="Heading2"/>
      </w:pPr>
      <w:r>
        <w:t xml:space="preserve">B4: Trinität unter beiden Beobachtern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B</m:t>
              </m:r>
              <m:r>
                <m:t>4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Lesart:</w:t>
      </w:r>
      <w:r>
        <w:t xml:space="preserve"> </w:t>
      </w:r>
      <w:r>
        <w:t xml:space="preserve">Die Trinität gilt unter beiden Beobachterkonzeptionen.</w:t>
      </w:r>
    </w:p>
    <w:p>
      <w:pPr>
        <w:pStyle w:val="BodyText"/>
      </w:pPr>
      <w:r>
        <w:rPr>
          <w:b/>
          <w:bCs/>
        </w:rPr>
        <w:t xml:space="preserve">Metaphysische Bedeutung:</w:t>
      </w:r>
      <w:r>
        <w:t xml:space="preserve"> </w:t>
      </w:r>
      <w:r>
        <w:t xml:space="preserve">Die Trinität ist</w:t>
      </w:r>
      <w:r>
        <w:t xml:space="preserve"> </w:t>
      </w:r>
      <w:r>
        <w:rPr>
          <w:b/>
          <w:bCs/>
        </w:rPr>
        <w:t xml:space="preserve">nicht an eine bestimmte Beobachterkonzeption gebunden</w:t>
      </w:r>
      <w:r>
        <w:t xml:space="preserve">.</w:t>
      </w:r>
    </w:p>
    <w:bookmarkEnd w:id="18"/>
    <w:bookmarkEnd w:id="19"/>
    <w:bookmarkStart w:id="24" w:name="Xd668dd3b65ece05dafda6e7c4b0174bfe0a96cf"/>
    <w:p>
      <w:pPr>
        <w:pStyle w:val="Heading1"/>
      </w:pPr>
      <w:r>
        <w:t xml:space="preserve">Beweis: Beide Beobachterkonzeptionen führen zur Trinität</w:t>
      </w:r>
    </w:p>
    <w:bookmarkStart w:id="20" w:name="der-hauptsatz"/>
    <w:p>
      <w:pPr>
        <w:pStyle w:val="Heading2"/>
      </w:pPr>
      <w:r>
        <w:t xml:space="preserve">Der Hauptsatz</w:t>
      </w:r>
    </w:p>
    <w:p>
      <w:pPr>
        <w:pStyle w:val="FirstParagraph"/>
      </w:pPr>
      <w:r>
        <w:rPr>
          <w:b/>
          <w:bCs/>
        </w:rPr>
        <w:t xml:space="preserve">Satz B-A:</w:t>
      </w:r>
      <w:r>
        <w:t xml:space="preserve"> </w:t>
      </w:r>
      <w:r>
        <w:t xml:space="preserve">In S5+SP+B1–B4 gilt: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</m:oMath>
      </m:oMathPara>
    </w:p>
    <w:bookmarkEnd w:id="20"/>
    <w:bookmarkStart w:id="21" w:name="der-beweis"/>
    <w:p>
      <w:pPr>
        <w:pStyle w:val="Heading2"/>
      </w:pPr>
      <w:r>
        <w:t xml:space="preserve">Der Beweis</w:t>
      </w:r>
    </w:p>
    <w:p>
      <w:pPr>
        <w:pStyle w:val="FirstParagraph"/>
      </w:pPr>
      <w:r>
        <w:rPr>
          <w:b/>
          <w:bCs/>
        </w:rPr>
        <w:t xml:space="preserve">Schritt 1:</w:t>
      </w:r>
      <w:r>
        <w:t xml:space="preserve"> </w:t>
      </w:r>
      <w:r>
        <w:t xml:space="preserve">Aus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folgt: In S5+SP gilt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Schritt 2:</w:t>
      </w:r>
      <w:r>
        <w:t xml:space="preserve"> </w:t>
      </w:r>
      <w:r>
        <w:t xml:space="preserve">Aus B4 folgt: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∧</m:t>
        </m:r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Schritt 3:</w:t>
      </w:r>
      <w:r>
        <w:t xml:space="preserve"> </w:t>
      </w:r>
      <w:r>
        <w:t xml:space="preserve">Aus B1 folgt: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Schritt 4:</w:t>
      </w:r>
      <w:r>
        <w:t xml:space="preserve"> </w:t>
      </w:r>
      <w:r>
        <w:t xml:space="preserve">Aus B2 folgt: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Schritt 5:</w:t>
      </w:r>
      <w:r>
        <w:t xml:space="preserve"> </w:t>
      </w:r>
      <w:r>
        <w:t xml:space="preserve">Aus B3 folgt: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↔</m:t>
        </m:r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Schritt 6:</w:t>
      </w:r>
      <w:r>
        <w:t xml:space="preserve"> </w:t>
      </w:r>
      <w:r>
        <w:t xml:space="preserve">Aus Schritt 2 und Schritt 5 folgt: Beide Beobachterkonzeptionen führen zur Trinität.</w:t>
      </w:r>
    </w:p>
    <w:p>
      <w:pPr>
        <w:pStyle w:val="BodyText"/>
      </w:pPr>
      <w:r>
        <w:rPr>
          <w:b/>
          <w:bCs/>
        </w:rPr>
        <w:t xml:space="preserve">Schritt 7:</w:t>
      </w:r>
      <w:r>
        <w:t xml:space="preserve"> </w:t>
      </w:r>
      <w:r>
        <w:t xml:space="preserve">Da die Trinität in allen Welten gilt (aus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), gilt sie auch unter beiden Beobachterkonzeptionen. Also: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q.e.d.</w:t>
      </w:r>
    </w:p>
    <w:bookmarkEnd w:id="21"/>
    <w:bookmarkStart w:id="22" w:name="was-der-beweis-zeigt"/>
    <w:p>
      <w:pPr>
        <w:pStyle w:val="Heading2"/>
      </w:pPr>
      <w:r>
        <w:t xml:space="preserve">Was der Beweis zeigt</w:t>
      </w:r>
    </w:p>
    <w:p>
      <w:pPr>
        <w:pStyle w:val="FirstParagraph"/>
      </w:pPr>
      <w:r>
        <w:t xml:space="preserve">Der Beweis zeigt:</w:t>
      </w:r>
    </w:p>
    <w:p>
      <w:pPr>
        <w:pStyle w:val="Compact"/>
        <w:numPr>
          <w:ilvl w:val="0"/>
          <w:numId w:val="1003"/>
        </w:numPr>
      </w:pPr>
      <w:r>
        <w:t xml:space="preserve">Die Trinität folgt</w:t>
      </w:r>
      <w:r>
        <w:t xml:space="preserve"> </w:t>
      </w:r>
      <w:r>
        <w:rPr>
          <w:b/>
          <w:bCs/>
        </w:rPr>
        <w:t xml:space="preserve">sowohl</w:t>
      </w:r>
      <w:r>
        <w:t xml:space="preserve"> </w:t>
      </w:r>
      <w:r>
        <w:t xml:space="preserve">aus der konstitutiven</w:t>
      </w:r>
      <w:r>
        <w:t xml:space="preserve"> </w:t>
      </w:r>
      <w:r>
        <w:rPr>
          <w:b/>
          <w:bCs/>
        </w:rPr>
        <w:t xml:space="preserve">als auch</w:t>
      </w:r>
      <w:r>
        <w:t xml:space="preserve"> </w:t>
      </w:r>
      <w:r>
        <w:t xml:space="preserve">aus der strukturellen Beobachterkonzeption.</w:t>
      </w:r>
    </w:p>
    <w:p>
      <w:pPr>
        <w:pStyle w:val="Compact"/>
        <w:numPr>
          <w:ilvl w:val="0"/>
          <w:numId w:val="1003"/>
        </w:numPr>
      </w:pPr>
      <w:r>
        <w:t xml:space="preserve">Die beiden Konzeptionen sind</w:t>
      </w:r>
      <w:r>
        <w:t xml:space="preserve"> </w:t>
      </w:r>
      <w:r>
        <w:rPr>
          <w:b/>
          <w:bCs/>
        </w:rPr>
        <w:t xml:space="preserve">äquivalent</w:t>
      </w:r>
      <w:r>
        <w:t xml:space="preserve"> </w:t>
      </w:r>
      <w:r>
        <w:t xml:space="preserve">(B3).</w:t>
      </w:r>
    </w:p>
    <w:p>
      <w:pPr>
        <w:pStyle w:val="Compact"/>
        <w:numPr>
          <w:ilvl w:val="0"/>
          <w:numId w:val="1003"/>
        </w:numPr>
      </w:pPr>
      <w:r>
        <w:t xml:space="preserve">Die Trinität ist</w:t>
      </w:r>
      <w:r>
        <w:t xml:space="preserve"> </w:t>
      </w:r>
      <w:r>
        <w:rPr>
          <w:b/>
          <w:bCs/>
        </w:rPr>
        <w:t xml:space="preserve">beobachterkonzeptions-invariant</w:t>
      </w:r>
      <w:r>
        <w:t xml:space="preserve">.</w:t>
      </w:r>
    </w:p>
    <w:bookmarkEnd w:id="22"/>
    <w:bookmarkStart w:id="23" w:name="was-der-beweis-nicht-zeigt"/>
    <w:p>
      <w:pPr>
        <w:pStyle w:val="Heading2"/>
      </w:pPr>
      <w:r>
        <w:t xml:space="preserve">Was der Beweis nicht zeigt</w:t>
      </w:r>
    </w:p>
    <w:p>
      <w:pPr>
        <w:pStyle w:val="FirstParagraph"/>
      </w:pPr>
      <w:r>
        <w:t xml:space="preserve">Der Beweis zeigt</w:t>
      </w:r>
      <w:r>
        <w:t xml:space="preserve"> </w:t>
      </w:r>
      <w:r>
        <w:rPr>
          <w:b/>
          <w:bCs/>
        </w:rPr>
        <w:t xml:space="preserve">nicht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Dass die beiden Konzeptionen</w:t>
      </w:r>
      <w:r>
        <w:t xml:space="preserve"> </w:t>
      </w:r>
      <w:r>
        <w:rPr>
          <w:b/>
          <w:bCs/>
        </w:rPr>
        <w:t xml:space="preserve">identisch</w:t>
      </w:r>
      <w:r>
        <w:t xml:space="preserve"> </w:t>
      </w:r>
      <w:r>
        <w:t xml:space="preserve">sind.</w:t>
      </w:r>
    </w:p>
    <w:p>
      <w:pPr>
        <w:pStyle w:val="Compact"/>
        <w:numPr>
          <w:ilvl w:val="0"/>
          <w:numId w:val="1004"/>
        </w:numPr>
      </w:pPr>
      <w:r>
        <w:t xml:space="preserve">Dass eine der beiden Konzeptionen</w:t>
      </w:r>
      <w:r>
        <w:t xml:space="preserve"> </w:t>
      </w:r>
      <w:r>
        <w:rPr>
          <w:b/>
          <w:bCs/>
        </w:rPr>
        <w:t xml:space="preserve">falsch</w:t>
      </w:r>
      <w:r>
        <w:t xml:space="preserve"> </w:t>
      </w:r>
      <w:r>
        <w:t xml:space="preserve">ist.</w:t>
      </w:r>
    </w:p>
    <w:p>
      <w:pPr>
        <w:pStyle w:val="Compact"/>
        <w:numPr>
          <w:ilvl w:val="0"/>
          <w:numId w:val="1004"/>
        </w:numPr>
      </w:pPr>
      <w:r>
        <w:t xml:space="preserve">Dass die Wahl der Konzeption</w:t>
      </w:r>
      <w:r>
        <w:t xml:space="preserve"> </w:t>
      </w:r>
      <w:r>
        <w:rPr>
          <w:b/>
          <w:bCs/>
        </w:rPr>
        <w:t xml:space="preserve">egal</w:t>
      </w:r>
      <w:r>
        <w:t xml:space="preserve"> </w:t>
      </w:r>
      <w:r>
        <w:t xml:space="preserve">ist.</w:t>
      </w:r>
    </w:p>
    <w:p>
      <w:pPr>
        <w:pStyle w:val="FirstParagraph"/>
      </w:pPr>
      <w:r>
        <w:t xml:space="preserve">Der Beweis zeigt nur: Beide Konzeptionen führen zur selben Struktur.</w:t>
      </w:r>
    </w:p>
    <w:bookmarkEnd w:id="23"/>
    <w:bookmarkEnd w:id="24"/>
    <w:bookmarkStart w:id="29" w:name="vergleich-mit-everett-bohr-rovelli"/>
    <w:p>
      <w:pPr>
        <w:pStyle w:val="Heading1"/>
      </w:pPr>
      <w:r>
        <w:t xml:space="preserve">Vergleich mit Everett, Bohr, Rovelli</w:t>
      </w:r>
    </w:p>
    <w:bookmarkStart w:id="25" w:name="everett-mwi"/>
    <w:p>
      <w:pPr>
        <w:pStyle w:val="Heading2"/>
      </w:pPr>
      <w:r>
        <w:t xml:space="preserve">Everett (MWI)</w:t>
      </w:r>
    </w:p>
    <w:p>
      <w:pPr>
        <w:pStyle w:val="FirstParagraph"/>
      </w:pPr>
      <w:r>
        <w:rPr>
          <w:b/>
          <w:bCs/>
        </w:rPr>
        <w:t xml:space="preserve">Everett</w:t>
      </w:r>
      <w:r>
        <w:t xml:space="preserve"> </w:t>
      </w:r>
      <w:r>
        <w:t xml:space="preserve">(1957) formulierte die Viele-Welten-Interpretation. In dieser Interpretation:</w:t>
      </w:r>
    </w:p>
    <w:p>
      <w:pPr>
        <w:pStyle w:val="Compact"/>
        <w:numPr>
          <w:ilvl w:val="0"/>
          <w:numId w:val="1005"/>
        </w:numPr>
      </w:pPr>
      <w:r>
        <w:t xml:space="preserve">Die Wellenfunktion</w:t>
      </w:r>
      <w:r>
        <w:t xml:space="preserve"> </w:t>
      </w:r>
      <w:r>
        <w:rPr>
          <w:b/>
          <w:bCs/>
        </w:rPr>
        <w:t xml:space="preserve">kollabiert nicht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Alle Möglichkeiten sind</w:t>
      </w:r>
      <w:r>
        <w:t xml:space="preserve"> </w:t>
      </w:r>
      <w:r>
        <w:rPr>
          <w:b/>
          <w:bCs/>
        </w:rPr>
        <w:t xml:space="preserve">real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Der Beobachter ist</w:t>
      </w:r>
      <w:r>
        <w:t xml:space="preserve"> </w:t>
      </w:r>
      <w:r>
        <w:rPr>
          <w:b/>
          <w:bCs/>
        </w:rPr>
        <w:t xml:space="preserve">selbst Teil</w:t>
      </w:r>
      <w:r>
        <w:t xml:space="preserve"> </w:t>
      </w:r>
      <w:r>
        <w:t xml:space="preserve">der Verzweigung.</w:t>
      </w:r>
    </w:p>
    <w:p>
      <w:pPr>
        <w:pStyle w:val="FirstParagraph"/>
      </w:pPr>
      <w:r>
        <w:rPr>
          <w:b/>
          <w:bCs/>
        </w:rPr>
        <w:t xml:space="preserve">Vergleich mit unserem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rPr>
          <w:b/>
          <w:bCs/>
        </w:rPr>
        <w:t xml:space="preserve">:</w:t>
      </w:r>
      <w:r>
        <w:t xml:space="preserve"> </w:t>
      </w:r>
      <w:r>
        <w:t xml:space="preserve">Der Van-Dormael-Beobachter entspricht dem everettschen Beobachter. Er ist nicht-konstitutiv, sondern</w:t>
      </w:r>
      <w:r>
        <w:t xml:space="preserve"> </w:t>
      </w:r>
      <w:r>
        <w:rPr>
          <w:b/>
          <w:bCs/>
        </w:rPr>
        <w:t xml:space="preserve">strukturell</w:t>
      </w:r>
      <w:r>
        <w:t xml:space="preserve">.</w:t>
      </w:r>
    </w:p>
    <w:bookmarkEnd w:id="25"/>
    <w:bookmarkStart w:id="26" w:name="bohr-kopenhagen"/>
    <w:p>
      <w:pPr>
        <w:pStyle w:val="Heading2"/>
      </w:pPr>
      <w:r>
        <w:t xml:space="preserve">Bohr (Kopenhagen)</w:t>
      </w:r>
    </w:p>
    <w:p>
      <w:pPr>
        <w:pStyle w:val="FirstParagraph"/>
      </w:pPr>
      <w:r>
        <w:rPr>
          <w:b/>
          <w:bCs/>
        </w:rPr>
        <w:t xml:space="preserve">Bohr</w:t>
      </w:r>
      <w:r>
        <w:t xml:space="preserve"> </w:t>
      </w:r>
      <w:r>
        <w:t xml:space="preserve">(1928) formulierte die Kopenhagener Deutung. In dieser Interpretation:</w:t>
      </w:r>
    </w:p>
    <w:p>
      <w:pPr>
        <w:pStyle w:val="Compact"/>
        <w:numPr>
          <w:ilvl w:val="0"/>
          <w:numId w:val="1006"/>
        </w:numPr>
      </w:pPr>
      <w:r>
        <w:t xml:space="preserve">Die Wellenfunktion</w:t>
      </w:r>
      <w:r>
        <w:t xml:space="preserve"> </w:t>
      </w:r>
      <w:r>
        <w:rPr>
          <w:b/>
          <w:bCs/>
        </w:rPr>
        <w:t xml:space="preserve">kollabiert</w:t>
      </w:r>
      <w:r>
        <w:t xml:space="preserve"> </w:t>
      </w:r>
      <w:r>
        <w:t xml:space="preserve">bei der Messung.</w:t>
      </w:r>
    </w:p>
    <w:p>
      <w:pPr>
        <w:pStyle w:val="Compact"/>
        <w:numPr>
          <w:ilvl w:val="0"/>
          <w:numId w:val="1006"/>
        </w:numPr>
      </w:pPr>
      <w:r>
        <w:t xml:space="preserve">Der Beobachter ist</w:t>
      </w:r>
      <w:r>
        <w:t xml:space="preserve"> </w:t>
      </w:r>
      <w:r>
        <w:rPr>
          <w:b/>
          <w:bCs/>
        </w:rPr>
        <w:t xml:space="preserve">konstitutiv</w:t>
      </w:r>
      <w:r>
        <w:t xml:space="preserve"> </w:t>
      </w:r>
      <w:r>
        <w:t xml:space="preserve">für die Messung.</w:t>
      </w:r>
    </w:p>
    <w:p>
      <w:pPr>
        <w:pStyle w:val="Compact"/>
        <w:numPr>
          <w:ilvl w:val="0"/>
          <w:numId w:val="1006"/>
        </w:numPr>
      </w:pPr>
      <w:r>
        <w:t xml:space="preserve">Die klassische Welt ist</w:t>
      </w:r>
      <w:r>
        <w:t xml:space="preserve"> </w:t>
      </w:r>
      <w:r>
        <w:rPr>
          <w:b/>
          <w:bCs/>
        </w:rPr>
        <w:t xml:space="preserve">notwendig</w:t>
      </w:r>
      <w:r>
        <w:t xml:space="preserve"> </w:t>
      </w:r>
      <w:r>
        <w:t xml:space="preserve">für die Beschreibung.</w:t>
      </w:r>
    </w:p>
    <w:p>
      <w:pPr>
        <w:pStyle w:val="FirstParagraph"/>
      </w:pPr>
      <w:r>
        <w:rPr>
          <w:b/>
          <w:bCs/>
        </w:rPr>
        <w:t xml:space="preserve">Vergleich mit unserem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rPr>
          <w:b/>
          <w:bCs/>
        </w:rPr>
        <w:t xml:space="preserve">:</w:t>
      </w:r>
      <w:r>
        <w:t xml:space="preserve"> </w:t>
      </w:r>
      <w:r>
        <w:t xml:space="preserve">Der DeLillo-Beobachter entspricht dem bohrschen Beobachter. Er ist konstitutiv für die Wirklichkeit.</w:t>
      </w:r>
    </w:p>
    <w:bookmarkEnd w:id="26"/>
    <w:bookmarkStart w:id="27" w:name="rovelli-relationale-qm"/>
    <w:p>
      <w:pPr>
        <w:pStyle w:val="Heading2"/>
      </w:pPr>
      <w:r>
        <w:t xml:space="preserve">Rovelli (Relationale QM)</w:t>
      </w:r>
    </w:p>
    <w:p>
      <w:pPr>
        <w:pStyle w:val="FirstParagraph"/>
      </w:pPr>
      <w:r>
        <w:rPr>
          <w:b/>
          <w:bCs/>
        </w:rPr>
        <w:t xml:space="preserve">Rovelli</w:t>
      </w:r>
      <w:r>
        <w:t xml:space="preserve"> </w:t>
      </w:r>
      <w:r>
        <w:t xml:space="preserve">(1996) formulierte die relationale Quantenmechanik. In dieser Interpretation:</w:t>
      </w:r>
    </w:p>
    <w:p>
      <w:pPr>
        <w:pStyle w:val="Compact"/>
        <w:numPr>
          <w:ilvl w:val="0"/>
          <w:numId w:val="1007"/>
        </w:numPr>
      </w:pPr>
      <w:r>
        <w:t xml:space="preserve">Zustände sind</w:t>
      </w:r>
      <w:r>
        <w:t xml:space="preserve"> </w:t>
      </w:r>
      <w:r>
        <w:rPr>
          <w:b/>
          <w:bCs/>
        </w:rPr>
        <w:t xml:space="preserve">relativ</w:t>
      </w:r>
      <w:r>
        <w:t xml:space="preserve"> </w:t>
      </w:r>
      <w:r>
        <w:t xml:space="preserve">zu einem Beobachter.</w:t>
      </w:r>
    </w:p>
    <w:p>
      <w:pPr>
        <w:pStyle w:val="Compact"/>
        <w:numPr>
          <w:ilvl w:val="0"/>
          <w:numId w:val="1007"/>
        </w:numPr>
      </w:pPr>
      <w:r>
        <w:t xml:space="preserve">Es gibt keinen</w:t>
      </w:r>
      <w:r>
        <w:t xml:space="preserve"> </w:t>
      </w:r>
      <w:r>
        <w:rPr>
          <w:b/>
          <w:bCs/>
        </w:rPr>
        <w:t xml:space="preserve">absoluten</w:t>
      </w:r>
      <w:r>
        <w:t xml:space="preserve"> </w:t>
      </w:r>
      <w:r>
        <w:t xml:space="preserve">Zustand.</w:t>
      </w:r>
    </w:p>
    <w:p>
      <w:pPr>
        <w:pStyle w:val="Compact"/>
        <w:numPr>
          <w:ilvl w:val="0"/>
          <w:numId w:val="1007"/>
        </w:numPr>
      </w:pPr>
      <w:r>
        <w:t xml:space="preserve">Der Beobachter ist</w:t>
      </w:r>
      <w:r>
        <w:t xml:space="preserve"> </w:t>
      </w:r>
      <w:r>
        <w:rPr>
          <w:b/>
          <w:bCs/>
        </w:rPr>
        <w:t xml:space="preserve">relational</w:t>
      </w:r>
      <w:r>
        <w:t xml:space="preserve"> </w:t>
      </w:r>
      <w:r>
        <w:t xml:space="preserve">definiert.</w:t>
      </w:r>
    </w:p>
    <w:p>
      <w:pPr>
        <w:pStyle w:val="FirstParagraph"/>
      </w:pPr>
      <w:r>
        <w:rPr>
          <w:b/>
          <w:bCs/>
        </w:rPr>
        <w:t xml:space="preserve">Vergleich mit unserem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und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rPr>
          <w:b/>
          <w:bCs/>
        </w:rPr>
        <w:t xml:space="preserve">:</w:t>
      </w:r>
      <w:r>
        <w:t xml:space="preserve"> </w:t>
      </w:r>
      <w:r>
        <w:t xml:space="preserve">Rovellis Beobachter ist</w:t>
      </w:r>
      <w:r>
        <w:t xml:space="preserve"> </w:t>
      </w:r>
      <w:r>
        <w:rPr>
          <w:b/>
          <w:bCs/>
        </w:rPr>
        <w:t xml:space="preserve">weder</w:t>
      </w:r>
      <w:r>
        <w:t xml:space="preserve"> </w:t>
      </w:r>
      <w:r>
        <w:t xml:space="preserve">rein konstitutiv</w:t>
      </w:r>
      <w:r>
        <w:t xml:space="preserve"> </w:t>
      </w:r>
      <w:r>
        <w:rPr>
          <w:b/>
          <w:bCs/>
        </w:rPr>
        <w:t xml:space="preserve">noch</w:t>
      </w:r>
      <w:r>
        <w:t xml:space="preserve"> </w:t>
      </w:r>
      <w:r>
        <w:t xml:space="preserve">rein strukturell. Er ist</w:t>
      </w:r>
      <w:r>
        <w:t xml:space="preserve"> </w:t>
      </w:r>
      <w:r>
        <w:rPr>
          <w:b/>
          <w:bCs/>
        </w:rPr>
        <w:t xml:space="preserve">relational</w:t>
      </w:r>
      <w:r>
        <w:t xml:space="preserve">. Das ist eine</w:t>
      </w:r>
      <w:r>
        <w:t xml:space="preserve"> </w:t>
      </w:r>
      <w:r>
        <w:rPr>
          <w:b/>
          <w:bCs/>
        </w:rPr>
        <w:t xml:space="preserve">dritte</w:t>
      </w:r>
      <w:r>
        <w:t xml:space="preserve"> </w:t>
      </w:r>
      <w:r>
        <w:t xml:space="preserve">Position, die unsere beiden Operatoren</w:t>
      </w:r>
      <w:r>
        <w:t xml:space="preserve"> </w:t>
      </w:r>
      <w:r>
        <w:rPr>
          <w:b/>
          <w:bCs/>
        </w:rPr>
        <w:t xml:space="preserve">weder</w:t>
      </w:r>
      <w:r>
        <w:t xml:space="preserve"> </w:t>
      </w:r>
      <w:r>
        <w:t xml:space="preserve">subsumiert</w:t>
      </w:r>
      <w:r>
        <w:t xml:space="preserve"> </w:t>
      </w:r>
      <w:r>
        <w:rPr>
          <w:b/>
          <w:bCs/>
        </w:rPr>
        <w:t xml:space="preserve">noch</w:t>
      </w:r>
      <w:r>
        <w:t xml:space="preserve"> </w:t>
      </w:r>
      <w:r>
        <w:t xml:space="preserve">ausschließt.</w:t>
      </w:r>
    </w:p>
    <w:bookmarkEnd w:id="27"/>
    <w:bookmarkStart w:id="28" w:name="die-pointe"/>
    <w:p>
      <w:pPr>
        <w:pStyle w:val="Heading2"/>
      </w:pPr>
      <w:r>
        <w:t xml:space="preserve">Die Pointe</w:t>
      </w:r>
    </w:p>
    <w:p>
      <w:pPr>
        <w:pStyle w:val="FirstParagraph"/>
      </w:pPr>
      <w:r>
        <w:t xml:space="preserve">Unsere beiden Operatoren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und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erfassen die beiden</w:t>
      </w:r>
      <w:r>
        <w:t xml:space="preserve"> </w:t>
      </w:r>
      <w:r>
        <w:rPr>
          <w:b/>
          <w:bCs/>
        </w:rPr>
        <w:t xml:space="preserve">klassischen</w:t>
      </w:r>
      <w:r>
        <w:t xml:space="preserve"> </w:t>
      </w:r>
      <w:r>
        <w:t xml:space="preserve">Positionen (Bohr und Everett). Sie erfassen</w:t>
      </w:r>
      <w:r>
        <w:t xml:space="preserve"> </w:t>
      </w:r>
      <w:r>
        <w:rPr>
          <w:b/>
          <w:bCs/>
        </w:rPr>
        <w:t xml:space="preserve">nicht</w:t>
      </w:r>
      <w:r>
        <w:t xml:space="preserve"> </w:t>
      </w:r>
      <w:r>
        <w:t xml:space="preserve">die relationale Position (Rovelli). Das ist eine offene Frage.</w:t>
      </w:r>
    </w:p>
    <w:bookmarkEnd w:id="28"/>
    <w:bookmarkEnd w:id="29"/>
    <w:bookmarkStart w:id="33" w:name="X0169710f8fdcec631526af090179166dd6efa9d"/>
    <w:p>
      <w:pPr>
        <w:pStyle w:val="Heading1"/>
      </w:pPr>
      <w:r>
        <w:t xml:space="preserve">Was folgt daraus? Die Trinität ist beobachterkonzeptions-invariant</w:t>
      </w:r>
    </w:p>
    <w:bookmarkStart w:id="30" w:name="die-zentrale-einsicht"/>
    <w:p>
      <w:pPr>
        <w:pStyle w:val="Heading2"/>
      </w:pPr>
      <w:r>
        <w:t xml:space="preserve">Die zentrale Einsicht</w:t>
      </w:r>
    </w:p>
    <w:p>
      <w:pPr>
        <w:pStyle w:val="FirstParagraph"/>
      </w:pPr>
      <w:r>
        <w:t xml:space="preserve">Die Notwendigkeit der Trinität ist</w:t>
      </w:r>
      <w:r>
        <w:t xml:space="preserve"> </w:t>
      </w:r>
      <w:r>
        <w:rPr>
          <w:b/>
          <w:bCs/>
        </w:rPr>
        <w:t xml:space="preserve">nicht an eine bestimmte Beobachterkonzeption gebunden</w:t>
      </w:r>
      <w:r>
        <w:t xml:space="preserve">. In S5+SP+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ist sie notwendig aus konstitutiven Gründen. In S5+SP+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ist sie notwendig aus strukturellen Gründen. Beide Perspektiven führen zur</w:t>
      </w:r>
      <w:r>
        <w:t xml:space="preserve"> </w:t>
      </w:r>
      <w:r>
        <w:rPr>
          <w:b/>
          <w:bCs/>
        </w:rPr>
        <w:t xml:space="preserve">selben</w:t>
      </w:r>
      <w:r>
        <w:t xml:space="preserve"> </w:t>
      </w:r>
      <w:r>
        <w:t xml:space="preserve">Struktur.</w:t>
      </w:r>
    </w:p>
    <w:p>
      <w:pPr>
        <w:pStyle w:val="BodyText"/>
      </w:pPr>
      <w:r>
        <w:rPr>
          <w:b/>
          <w:bCs/>
        </w:rPr>
        <w:t xml:space="preserve">Formale Fassung: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30"/>
    <w:bookmarkStart w:id="31" w:name="die-konsequenzen"/>
    <w:p>
      <w:pPr>
        <w:pStyle w:val="Heading2"/>
      </w:pPr>
      <w:r>
        <w:t xml:space="preserve">Die Konsequenzen</w:t>
      </w:r>
    </w:p>
    <w:p>
      <w:pPr>
        <w:pStyle w:val="FirstParagraph"/>
      </w:pPr>
      <w:r>
        <w:rPr>
          <w:b/>
          <w:bCs/>
        </w:rPr>
        <w:t xml:space="preserve">Konsequenz 1:</w:t>
      </w:r>
      <w:r>
        <w:t xml:space="preserve"> </w:t>
      </w:r>
      <w:r>
        <w:t xml:space="preserve">Die Trinität ist</w:t>
      </w:r>
      <w:r>
        <w:t xml:space="preserve"> </w:t>
      </w:r>
      <w:r>
        <w:rPr>
          <w:b/>
          <w:bCs/>
        </w:rPr>
        <w:t xml:space="preserve">beobachterkonzeptions-invariant</w:t>
      </w:r>
      <w:r>
        <w:t xml:space="preserve">. Sie folgt aus beiden Konzeptionen.</w:t>
      </w:r>
    </w:p>
    <w:p>
      <w:pPr>
        <w:pStyle w:val="BodyText"/>
      </w:pPr>
      <w:r>
        <w:rPr>
          <w:b/>
          <w:bCs/>
        </w:rPr>
        <w:t xml:space="preserve">Konsequenz 2:</w:t>
      </w:r>
      <w:r>
        <w:t xml:space="preserve"> </w:t>
      </w:r>
      <w:r>
        <w:t xml:space="preserve">Die Wahl der Beobachterkonzeption ist</w:t>
      </w:r>
      <w:r>
        <w:t xml:space="preserve"> </w:t>
      </w:r>
      <w:r>
        <w:rPr>
          <w:b/>
          <w:bCs/>
        </w:rPr>
        <w:t xml:space="preserve">nicht</w:t>
      </w:r>
      <w:r>
        <w:t xml:space="preserve"> </w:t>
      </w:r>
      <w:r>
        <w:t xml:space="preserve">durch die Struktur der Wirklichkeit determiniert. Sie ist eine</w:t>
      </w:r>
      <w:r>
        <w:t xml:space="preserve"> </w:t>
      </w:r>
      <w:r>
        <w:rPr>
          <w:b/>
          <w:bCs/>
        </w:rPr>
        <w:t xml:space="preserve">metaphysische</w:t>
      </w:r>
      <w:r>
        <w:t xml:space="preserve"> </w:t>
      </w:r>
      <w:r>
        <w:t xml:space="preserve">oder</w:t>
      </w:r>
      <w:r>
        <w:t xml:space="preserve"> </w:t>
      </w:r>
      <w:r>
        <w:rPr>
          <w:b/>
          <w:bCs/>
        </w:rPr>
        <w:t xml:space="preserve">physikalische</w:t>
      </w:r>
      <w:r>
        <w:t xml:space="preserve"> </w:t>
      </w:r>
      <w:r>
        <w:t xml:space="preserve">Frage.</w:t>
      </w:r>
    </w:p>
    <w:p>
      <w:pPr>
        <w:pStyle w:val="BodyText"/>
      </w:pPr>
      <w:r>
        <w:rPr>
          <w:b/>
          <w:bCs/>
        </w:rPr>
        <w:t xml:space="preserve">Konsequenz 3:</w:t>
      </w:r>
      <w:r>
        <w:t xml:space="preserve"> </w:t>
      </w:r>
      <w:r>
        <w:t xml:space="preserve">Die Trinität ist</w:t>
      </w:r>
      <w:r>
        <w:t xml:space="preserve"> </w:t>
      </w:r>
      <w:r>
        <w:rPr>
          <w:b/>
          <w:bCs/>
        </w:rPr>
        <w:t xml:space="preserve">kein Artefakt</w:t>
      </w:r>
      <w:r>
        <w:t xml:space="preserve"> </w:t>
      </w:r>
      <w:r>
        <w:t xml:space="preserve">einer bestimmten Beobachterkonzeption. Sie ist eine</w:t>
      </w:r>
      <w:r>
        <w:t xml:space="preserve"> </w:t>
      </w:r>
      <w:r>
        <w:rPr>
          <w:b/>
          <w:bCs/>
        </w:rPr>
        <w:t xml:space="preserve">strukturelle</w:t>
      </w:r>
      <w:r>
        <w:t xml:space="preserve"> </w:t>
      </w:r>
      <w:r>
        <w:t xml:space="preserve">Eigenschaft.</w:t>
      </w:r>
    </w:p>
    <w:bookmarkEnd w:id="31"/>
    <w:bookmarkStart w:id="32" w:name="das-verhältnis-zur-tradition"/>
    <w:p>
      <w:pPr>
        <w:pStyle w:val="Heading2"/>
      </w:pPr>
      <w:r>
        <w:t xml:space="preserve">Das Verhältnis zur Tradition</w:t>
      </w:r>
    </w:p>
    <w:p>
      <w:pPr>
        <w:pStyle w:val="FirstParagraph"/>
      </w:pPr>
      <w:r>
        <w:t xml:space="preserve">Die klassische Metaphysik sucht oft</w:t>
      </w:r>
      <w:r>
        <w:t xml:space="preserve"> </w:t>
      </w:r>
      <w:r>
        <w:rPr>
          <w:b/>
          <w:bCs/>
        </w:rPr>
        <w:t xml:space="preserve">einen</w:t>
      </w:r>
      <w:r>
        <w:t xml:space="preserve"> </w:t>
      </w:r>
      <w:r>
        <w:t xml:space="preserve">Grund. Die vorliegende Abhandlung zeigt: Es gibt</w:t>
      </w:r>
      <w:r>
        <w:t xml:space="preserve"> </w:t>
      </w:r>
      <w:r>
        <w:rPr>
          <w:b/>
          <w:bCs/>
        </w:rPr>
        <w:t xml:space="preserve">zwei</w:t>
      </w:r>
      <w:r>
        <w:t xml:space="preserve"> </w:t>
      </w:r>
      <w:r>
        <w:t xml:space="preserve">Beobachterkonzeptionen, die</w:t>
      </w:r>
      <w:r>
        <w:t xml:space="preserve"> </w:t>
      </w:r>
      <w:r>
        <w:rPr>
          <w:b/>
          <w:bCs/>
        </w:rPr>
        <w:t xml:space="preserve">gleichzeitig</w:t>
      </w:r>
      <w:r>
        <w:t xml:space="preserve"> </w:t>
      </w:r>
      <w:r>
        <w:t xml:space="preserve">zur Trinität führen. Das ist</w:t>
      </w:r>
      <w:r>
        <w:t xml:space="preserve"> </w:t>
      </w:r>
      <w:r>
        <w:rPr>
          <w:b/>
          <w:bCs/>
        </w:rPr>
        <w:t xml:space="preserve">kein Mangel</w:t>
      </w:r>
      <w:r>
        <w:t xml:space="preserve">, sondern eine</w:t>
      </w:r>
      <w:r>
        <w:t xml:space="preserve"> </w:t>
      </w:r>
      <w:r>
        <w:rPr>
          <w:b/>
          <w:bCs/>
        </w:rPr>
        <w:t xml:space="preserve">Einsicht</w:t>
      </w:r>
      <w:r>
        <w:t xml:space="preserve">: Die Trinität ist</w:t>
      </w:r>
      <w:r>
        <w:t xml:space="preserve"> </w:t>
      </w:r>
      <w:r>
        <w:rPr>
          <w:b/>
          <w:bCs/>
        </w:rPr>
        <w:t xml:space="preserve">robust</w:t>
      </w:r>
      <w:r>
        <w:t xml:space="preserve"> </w:t>
      </w:r>
      <w:r>
        <w:t xml:space="preserve">gegenüber der Wahl der Beobachterkonzeption.</w:t>
      </w:r>
    </w:p>
    <w:bookmarkEnd w:id="32"/>
    <w:bookmarkEnd w:id="33"/>
    <w:bookmarkStart w:id="39" w:name="Xb93e7804c441fab537dbf755ef4db1cd953e6b0"/>
    <w:p>
      <w:pPr>
        <w:pStyle w:val="Heading1"/>
      </w:pPr>
      <w:r>
        <w:t xml:space="preserve">Offene Fragen: Gibt es einen beobachterunabhängigen Kern?</w:t>
      </w:r>
    </w:p>
    <w:bookmarkStart w:id="34" w:name="die-frage"/>
    <w:p>
      <w:pPr>
        <w:pStyle w:val="Heading2"/>
      </w:pPr>
      <w:r>
        <w:t xml:space="preserve">Die Frage</w:t>
      </w:r>
    </w:p>
    <w:p>
      <w:pPr>
        <w:pStyle w:val="FirstParagraph"/>
      </w:pPr>
      <w:r>
        <w:t xml:space="preserve">Wir haben gezeigt: Beide Beobachterkonzeptionen führen zur Trinität.</w:t>
      </w:r>
      <w:r>
        <w:t xml:space="preserve"> </w:t>
      </w:r>
      <w:r>
        <w:rPr>
          <w:b/>
          <w:bCs/>
        </w:rPr>
        <w:t xml:space="preserve">Frage:</w:t>
      </w:r>
      <w:r>
        <w:t xml:space="preserve"> </w:t>
      </w:r>
      <w:r>
        <w:t xml:space="preserve">Gibt es einen</w:t>
      </w:r>
      <w:r>
        <w:t xml:space="preserve"> </w:t>
      </w:r>
      <w:r>
        <w:rPr>
          <w:b/>
          <w:bCs/>
        </w:rPr>
        <w:t xml:space="preserve">beobachterunabhängigen Kern</w:t>
      </w:r>
      <w:r>
        <w:t xml:space="preserve">, der</w:t>
      </w:r>
      <w:r>
        <w:t xml:space="preserve"> </w:t>
      </w:r>
      <w:r>
        <w:rPr>
          <w:b/>
          <w:bCs/>
        </w:rPr>
        <w:t xml:space="preserve">beiden</w:t>
      </w:r>
      <w:r>
        <w:t xml:space="preserve"> </w:t>
      </w:r>
      <w:r>
        <w:t xml:space="preserve">Konzeptionen zugrunde liegt?</w:t>
      </w:r>
    </w:p>
    <w:bookmarkEnd w:id="34"/>
    <w:bookmarkStart w:id="35" w:name="mögliche-antworten"/>
    <w:p>
      <w:pPr>
        <w:pStyle w:val="Heading2"/>
      </w:pPr>
      <w:r>
        <w:t xml:space="preserve">Mögliche Antworten</w:t>
      </w:r>
    </w:p>
    <w:p>
      <w:pPr>
        <w:pStyle w:val="FirstParagraph"/>
      </w:pPr>
      <w:r>
        <w:rPr>
          <w:b/>
          <w:bCs/>
        </w:rPr>
        <w:t xml:space="preserve">Antwort 1:</w:t>
      </w:r>
      <w:r>
        <w:t xml:space="preserve"> </w:t>
      </w:r>
      <w:r>
        <w:t xml:space="preserve">Ja. Der beobachterunabhängige Kern ist die</w:t>
      </w:r>
      <w:r>
        <w:t xml:space="preserve"> </w:t>
      </w:r>
      <w:r>
        <w:rPr>
          <w:b/>
          <w:bCs/>
        </w:rPr>
        <w:t xml:space="preserve">strukturelle Einheit</w:t>
      </w:r>
      <w:r>
        <w:t xml:space="preserve"> </w:t>
      </w:r>
      <w:r>
        <w:t xml:space="preserve">der Trinität. Sie gilt unabhängig davon, ob sie durch einen Beobachter konstituiert oder strukturell erfasst wird.</w:t>
      </w:r>
    </w:p>
    <w:p>
      <w:pPr>
        <w:pStyle w:val="BodyText"/>
      </w:pPr>
      <w:r>
        <w:rPr>
          <w:b/>
          <w:bCs/>
        </w:rPr>
        <w:t xml:space="preserve">Antwort 2:</w:t>
      </w:r>
      <w:r>
        <w:t xml:space="preserve"> </w:t>
      </w:r>
      <w:r>
        <w:t xml:space="preserve">Nein. Es gibt keinen beobachterunabhängigen Kern. Die Trinität ist</w:t>
      </w:r>
      <w:r>
        <w:t xml:space="preserve"> </w:t>
      </w:r>
      <w:r>
        <w:rPr>
          <w:b/>
          <w:bCs/>
        </w:rPr>
        <w:t xml:space="preserve">immer</w:t>
      </w:r>
      <w:r>
        <w:t xml:space="preserve"> </w:t>
      </w:r>
      <w:r>
        <w:t xml:space="preserve">beobachterrelativ — entweder konstitutiv oder strukturell.</w:t>
      </w:r>
    </w:p>
    <w:p>
      <w:pPr>
        <w:pStyle w:val="BodyText"/>
      </w:pPr>
      <w:r>
        <w:rPr>
          <w:b/>
          <w:bCs/>
        </w:rPr>
        <w:t xml:space="preserve">Antwort 3:</w:t>
      </w:r>
      <w:r>
        <w:t xml:space="preserve"> </w:t>
      </w:r>
      <w:r>
        <w:t xml:space="preserve">Die Frage ist</w:t>
      </w:r>
      <w:r>
        <w:t xml:space="preserve"> </w:t>
      </w:r>
      <w:r>
        <w:rPr>
          <w:b/>
          <w:bCs/>
        </w:rPr>
        <w:t xml:space="preserve">offen</w:t>
      </w:r>
      <w:r>
        <w:t xml:space="preserve">. Es gibt Argumente für beide Positionen.</w:t>
      </w:r>
    </w:p>
    <w:bookmarkEnd w:id="35"/>
    <w:bookmarkStart w:id="36" w:name="was-wir-gezeigt-haben"/>
    <w:p>
      <w:pPr>
        <w:pStyle w:val="Heading2"/>
      </w:pPr>
      <w:r>
        <w:t xml:space="preserve">Was wir gezeigt haben</w:t>
      </w:r>
    </w:p>
    <w:p>
      <w:pPr>
        <w:pStyle w:val="FirstParagraph"/>
      </w:pPr>
      <w:r>
        <w:t xml:space="preserve">Wir haben</w:t>
      </w:r>
      <w:r>
        <w:t xml:space="preserve"> </w:t>
      </w:r>
      <w:r>
        <w:rPr>
          <w:b/>
          <w:bCs/>
        </w:rPr>
        <w:t xml:space="preserve">nicht</w:t>
      </w:r>
      <w:r>
        <w:t xml:space="preserve"> </w:t>
      </w:r>
      <w:r>
        <w:t xml:space="preserve">gezeigt, dass es einen beobachterunabhängigen Kern gibt. Wir haben nur gezeigt, dass</w:t>
      </w:r>
      <w:r>
        <w:t xml:space="preserve"> </w:t>
      </w:r>
      <w:r>
        <w:rPr>
          <w:b/>
          <w:bCs/>
        </w:rPr>
        <w:t xml:space="preserve">beide</w:t>
      </w:r>
      <w:r>
        <w:t xml:space="preserve"> </w:t>
      </w:r>
      <w:r>
        <w:t xml:space="preserve">Beobachterkonzeptionen zur Trinität führen.</w:t>
      </w:r>
    </w:p>
    <w:p>
      <w:pPr>
        <w:pStyle w:val="BodyText"/>
      </w:pPr>
      <w:r>
        <w:t xml:space="preserve">Die Frage nach dem beobachterunabhängigen Kern bleibt</w:t>
      </w:r>
      <w:r>
        <w:t xml:space="preserve"> </w:t>
      </w:r>
      <w:r>
        <w:rPr>
          <w:b/>
          <w:bCs/>
        </w:rPr>
        <w:t xml:space="preserve">offen</w:t>
      </w:r>
      <w:r>
        <w:t xml:space="preserve">. Sie ist Gegenstand von</w:t>
      </w:r>
      <w:r>
        <w:t xml:space="preserve"> </w:t>
      </w:r>
      <w:r>
        <w:rPr>
          <w:b/>
          <w:bCs/>
        </w:rPr>
        <w:t xml:space="preserve">Modal 14</w:t>
      </w:r>
      <w:r>
        <w:t xml:space="preserve"> </w:t>
      </w:r>
      <w:r>
        <w:t xml:space="preserve">(Einheit der Perspektiven).</w:t>
      </w:r>
    </w:p>
    <w:bookmarkEnd w:id="36"/>
    <w:bookmarkStart w:id="37" w:name="eine-zweite-offene-frage"/>
    <w:p>
      <w:pPr>
        <w:pStyle w:val="Heading2"/>
      </w:pPr>
      <w:r>
        <w:t xml:space="preserve">Eine zweite offene Frage</w:t>
      </w:r>
    </w:p>
    <w:p>
      <w:pPr>
        <w:pStyle w:val="FirstParagraph"/>
      </w:pPr>
      <w:r>
        <w:rPr>
          <w:b/>
          <w:bCs/>
        </w:rPr>
        <w:t xml:space="preserve">Frage:</w:t>
      </w:r>
      <w:r>
        <w:t xml:space="preserve"> </w:t>
      </w:r>
      <w:r>
        <w:t xml:space="preserve">Gibt es eine</w:t>
      </w:r>
      <w:r>
        <w:t xml:space="preserve"> </w:t>
      </w:r>
      <w:r>
        <w:rPr>
          <w:b/>
          <w:bCs/>
        </w:rPr>
        <w:t xml:space="preserve">dritte</w:t>
      </w:r>
      <w:r>
        <w:t xml:space="preserve"> </w:t>
      </w:r>
      <w:r>
        <w:t xml:space="preserve">Beobachterkonzeption?</w:t>
      </w:r>
    </w:p>
    <w:p>
      <w:pPr>
        <w:pStyle w:val="BodyText"/>
      </w:pPr>
      <w:r>
        <w:rPr>
          <w:b/>
          <w:bCs/>
        </w:rPr>
        <w:t xml:space="preserve">Mögliche Kandidaten:</w:t>
      </w:r>
    </w:p>
    <w:p>
      <w:pPr>
        <w:pStyle w:val="Compact"/>
        <w:numPr>
          <w:ilvl w:val="0"/>
          <w:numId w:val="1008"/>
        </w:numPr>
      </w:pPr>
      <w:r>
        <w:t xml:space="preserve">Die</w:t>
      </w:r>
      <w:r>
        <w:t xml:space="preserve"> </w:t>
      </w:r>
      <w:r>
        <w:rPr>
          <w:b/>
          <w:bCs/>
        </w:rPr>
        <w:t xml:space="preserve">relationale</w:t>
      </w:r>
      <w:r>
        <w:t xml:space="preserve"> </w:t>
      </w:r>
      <w:r>
        <w:t xml:space="preserve">Konzeption (Rovelli).</w:t>
      </w:r>
    </w:p>
    <w:p>
      <w:pPr>
        <w:pStyle w:val="Compact"/>
        <w:numPr>
          <w:ilvl w:val="0"/>
          <w:numId w:val="1008"/>
        </w:numPr>
      </w:pPr>
      <w:r>
        <w:t xml:space="preserve">Die</w:t>
      </w:r>
      <w:r>
        <w:t xml:space="preserve"> </w:t>
      </w:r>
      <w:r>
        <w:rPr>
          <w:b/>
          <w:bCs/>
        </w:rPr>
        <w:t xml:space="preserve">epistemische</w:t>
      </w:r>
      <w:r>
        <w:t xml:space="preserve"> </w:t>
      </w:r>
      <w:r>
        <w:t xml:space="preserve">Konzeption (QBismus).</w:t>
      </w:r>
    </w:p>
    <w:p>
      <w:pPr>
        <w:pStyle w:val="Compact"/>
        <w:numPr>
          <w:ilvl w:val="0"/>
          <w:numId w:val="1008"/>
        </w:numPr>
      </w:pPr>
      <w:r>
        <w:t xml:space="preserve">Die</w:t>
      </w:r>
      <w:r>
        <w:t xml:space="preserve"> </w:t>
      </w:r>
      <w:r>
        <w:rPr>
          <w:b/>
          <w:bCs/>
        </w:rPr>
        <w:t xml:space="preserve">prozessphilosophische</w:t>
      </w:r>
      <w:r>
        <w:t xml:space="preserve"> </w:t>
      </w:r>
      <w:r>
        <w:t xml:space="preserve">Konzeption (Whitehead).</w:t>
      </w:r>
    </w:p>
    <w:bookmarkEnd w:id="37"/>
    <w:bookmarkStart w:id="38" w:name="eine-dritte-offene-frage"/>
    <w:p>
      <w:pPr>
        <w:pStyle w:val="Heading2"/>
      </w:pPr>
      <w:r>
        <w:t xml:space="preserve">Eine dritte offene Frage</w:t>
      </w:r>
    </w:p>
    <w:p>
      <w:pPr>
        <w:pStyle w:val="FirstParagraph"/>
      </w:pPr>
      <w:r>
        <w:rPr>
          <w:b/>
          <w:bCs/>
        </w:rPr>
        <w:t xml:space="preserve">Frage:</w:t>
      </w:r>
      <w:r>
        <w:t xml:space="preserve"> </w:t>
      </w:r>
      <w:r>
        <w:t xml:space="preserve">Sind die beiden Beobachteroperatoren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und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t xml:space="preserve"> </w:t>
      </w:r>
      <w:r>
        <w:rPr>
          <w:b/>
          <w:bCs/>
        </w:rPr>
        <w:t xml:space="preserve">äquivalent</w:t>
      </w:r>
      <w:r>
        <w:t xml:space="preserve"> </w:t>
      </w:r>
      <w:r>
        <w:t xml:space="preserve">oder</w:t>
      </w:r>
      <w:r>
        <w:t xml:space="preserve"> </w:t>
      </w:r>
      <w:r>
        <w:rPr>
          <w:b/>
          <w:bCs/>
        </w:rPr>
        <w:t xml:space="preserve">verschieden</w:t>
      </w:r>
      <w:r>
        <w:t xml:space="preserve">?</w:t>
      </w:r>
    </w:p>
    <w:p>
      <w:pPr>
        <w:pStyle w:val="BodyText"/>
      </w:pPr>
      <w:r>
        <w:rPr>
          <w:b/>
          <w:bCs/>
        </w:rPr>
        <w:t xml:space="preserve">Antwort:</w:t>
      </w:r>
      <w:r>
        <w:t xml:space="preserve"> </w:t>
      </w:r>
      <w:r>
        <w:t xml:space="preserve">Nach B3 sind sie äquivalent. Aber B3 ist selbst ein Axiom. Die Frage, ob B3</w:t>
      </w:r>
      <w:r>
        <w:t xml:space="preserve"> </w:t>
      </w:r>
      <w:r>
        <w:rPr>
          <w:b/>
          <w:bCs/>
        </w:rPr>
        <w:t xml:space="preserve">notwendig</w:t>
      </w:r>
      <w:r>
        <w:t xml:space="preserve"> </w:t>
      </w:r>
      <w:r>
        <w:t xml:space="preserve">gilt, bleibt offen.</w:t>
      </w:r>
    </w:p>
    <w:bookmarkEnd w:id="38"/>
    <w:bookmarkEnd w:id="39"/>
    <w:bookmarkStart w:id="40" w:name="schluss-was-wurde-gezeigt"/>
    <w:p>
      <w:pPr>
        <w:pStyle w:val="Heading1"/>
      </w:pPr>
      <w:r>
        <w:t xml:space="preserve">Schluss: Was wurde gezeigt?</w:t>
      </w:r>
    </w:p>
    <w:p>
      <w:pPr>
        <w:pStyle w:val="FirstParagraph"/>
      </w:pPr>
      <w:r>
        <w:t xml:space="preserve">Die vorliegende Untersuchung hat gezeigt: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Der Beobachter spielt in der DeLillo-Perspektive (Kopenhagen) eine konstitutive Rolle, in der Van-Dormael-Perspektive (MWI) eine nicht-konstitutive.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Diese Unterscheidung kann in zwei Beobachter-Operatoren formalisiert werden: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(konstitutiv) und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(nicht-konstitutiv).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Beide Beobachterkonzeptionen führen zur Trinität.</w:t>
      </w:r>
      <w:r>
        <w:t xml:space="preserve"> </w:t>
      </w:r>
      <w:r>
        <w:t xml:space="preserve">In S5+SP+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aus konstitutiven Gründen, in S5+SP+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aus strukturellen Gründen.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Die Trinität ist beobachterkonzeptions-invariant.</w:t>
      </w:r>
      <w:r>
        <w:t xml:space="preserve"> </w:t>
      </w:r>
      <w:r>
        <w:t xml:space="preserve">Sie folgt aus beiden Konzeptionen.</w:t>
      </w:r>
    </w:p>
    <w:p>
      <w:pPr>
        <w:pStyle w:val="FirstParagraph"/>
      </w:pPr>
      <w:r>
        <w:t xml:space="preserve">Die zentrale Aussage dieser Abhandlung lautet:</w:t>
      </w:r>
    </w:p>
    <w:p>
      <w:pPr>
        <w:pStyle w:val="BlockText"/>
      </w:pPr>
      <w:r>
        <w:rPr>
          <w:b/>
          <w:bCs/>
        </w:rPr>
        <w:t xml:space="preserve">Die Notwendigkeit der Trinität ist nicht an eine bestimmte Beobachterkonzeption gebunden. Beide Perspektiven führen zur selben Struktur. Die Trinität ist beobachterkonzeptions-invariant.</w:t>
      </w:r>
    </w:p>
    <w:p>
      <w:pPr>
        <w:pStyle w:val="FirstParagraph"/>
      </w:pPr>
      <w:r>
        <w:t xml:space="preserve">Die Frage nach einem beobachterunabhängigen Kern bleibt offen. Sie ist Gegenstand von</w:t>
      </w:r>
      <w:r>
        <w:t xml:space="preserve"> </w:t>
      </w:r>
      <w:r>
        <w:rPr>
          <w:b/>
          <w:bCs/>
        </w:rPr>
        <w:t xml:space="preserve">Modal 14</w:t>
      </w:r>
      <w:r>
        <w:t xml:space="preserve"> </w:t>
      </w:r>
      <w:r>
        <w:t xml:space="preserve">(Einheit der Perspektiven).</w:t>
      </w:r>
    </w:p>
    <w:bookmarkEnd w:id="40"/>
    <w:bookmarkStart w:id="44" w:name="anhang-a-die-axiome-in-einer-übersicht"/>
    <w:p>
      <w:pPr>
        <w:pStyle w:val="Heading1"/>
      </w:pPr>
      <w:r>
        <w:t xml:space="preserve">Anhang A: Die Axiome in einer Übersicht</w:t>
      </w:r>
    </w:p>
    <w:bookmarkStart w:id="41" w:name="beobachter-axiome"/>
    <w:p>
      <w:pPr>
        <w:pStyle w:val="Heading2"/>
      </w:pPr>
      <w:r>
        <w:t xml:space="preserve">Beobachter-Axiome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B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B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B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↔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B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1"/>
    <w:bookmarkStart w:id="42" w:name="semantik"/>
    <w:p>
      <w:pPr>
        <w:pStyle w:val="Heading2"/>
      </w:pPr>
      <w:r>
        <w:t xml:space="preserve">Semantik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nor/>
                  <m:sty m:val="p"/>
                </m:rPr>
                <m:t>der Beobachter in </m:t>
              </m:r>
              <m:r>
                <m:t>w</m:t>
              </m:r>
              <m:r>
                <m:rPr>
                  <m:nor/>
                  <m:sty m:val="p"/>
                </m:rPr>
                <m:t> konstituiert </m:t>
              </m:r>
              <m:r>
                <m:t>p</m:t>
              </m:r>
            </m:e>
            <m:e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t>p</m:t>
              </m:r>
              <m:r>
                <m:rPr>
                  <m:nor/>
                  <m:sty m:val="p"/>
                </m:rPr>
                <m:t> gilt strukturell in </m:t>
              </m:r>
              <m:r>
                <m:t>w</m:t>
              </m:r>
            </m:e>
          </m:eqArr>
        </m:oMath>
      </m:oMathPara>
    </w:p>
    <w:bookmarkEnd w:id="42"/>
    <w:bookmarkStart w:id="43" w:name="der-hauptsatz-1"/>
    <w:p>
      <w:pPr>
        <w:pStyle w:val="Heading2"/>
      </w:pPr>
      <w:r>
        <w:t xml:space="preserve">Der Hauptsatz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3"/>
    <w:bookmarkEnd w:id="44"/>
    <w:bookmarkStart w:id="45" w:name="Xda0a0e7c114c2705498d168768148eef0be7b96"/>
    <w:p>
      <w:pPr>
        <w:pStyle w:val="Heading1"/>
      </w:pPr>
      <w:r>
        <w:t xml:space="preserve">Anhang B: Vergleich mit Everett, Bohr, Rovelli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Interpret</w:t>
            </w:r>
          </w:p>
        </w:tc>
        <w:tc>
          <w:tcPr/>
          <w:p>
            <w:pPr>
              <w:pStyle w:val="Compact"/>
            </w:pPr>
            <w:r>
              <w:t xml:space="preserve">Beobachter</w:t>
            </w:r>
          </w:p>
        </w:tc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t xml:space="preserve">Vergleich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Bohr</w:t>
            </w:r>
          </w:p>
        </w:tc>
        <w:tc>
          <w:tcPr/>
          <w:p>
            <w:pPr>
              <w:pStyle w:val="Compact"/>
            </w:pPr>
            <w:r>
              <w:t xml:space="preserve">Konstitutiv</w:t>
            </w:r>
          </w:p>
        </w:tc>
        <w:tc>
          <w:tcPr/>
          <w:p>
            <w:pPr>
              <w:pStyle w:val="Compact"/>
            </w:pPr>
            <w:r>
              <w:t xml:space="preserve">Erzeugt Wirklichkeit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</w:pPr>
            <w:r>
              <w:t xml:space="preserve">Everett</w:t>
            </w:r>
          </w:p>
        </w:tc>
        <w:tc>
          <w:tcPr/>
          <w:p>
            <w:pPr>
              <w:pStyle w:val="Compact"/>
            </w:pPr>
            <w:r>
              <w:t xml:space="preserve">Nicht-konstitutiv</w:t>
            </w:r>
          </w:p>
        </w:tc>
        <w:tc>
          <w:tcPr/>
          <w:p>
            <w:pPr>
              <w:pStyle w:val="Compact"/>
            </w:pPr>
            <w:r>
              <w:t xml:space="preserve">Teil der Verzweigung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</w:pPr>
            <w:r>
              <w:t xml:space="preserve">Rovelli</w:t>
            </w:r>
          </w:p>
        </w:tc>
        <w:tc>
          <w:tcPr/>
          <w:p>
            <w:pPr>
              <w:pStyle w:val="Compact"/>
            </w:pPr>
            <w:r>
              <w:t xml:space="preserve">Relational</w:t>
            </w:r>
          </w:p>
        </w:tc>
        <w:tc>
          <w:tcPr/>
          <w:p>
            <w:pPr>
              <w:pStyle w:val="Compact"/>
            </w:pPr>
            <w:r>
              <w:t xml:space="preserve">Zustände relativ zu Beobachter</w:t>
            </w:r>
          </w:p>
        </w:tc>
        <w:tc>
          <w:tcPr/>
          <w:p>
            <w:pPr>
              <w:pStyle w:val="Compact"/>
            </w:pPr>
            <w:r>
              <w:t xml:space="preserve">Weder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noch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</m:oMath>
          </w:p>
        </w:tc>
      </w:tr>
    </w:tbl>
    <w:bookmarkEnd w:id="45"/>
    <w:bookmarkStart w:id="46" w:name="X0067870564a9e13f1bc3359d8d48fd1503d0751"/>
    <w:p>
      <w:pPr>
        <w:pStyle w:val="Heading1"/>
      </w:pPr>
      <w:r>
        <w:t xml:space="preserve">Anhang C: Die drei Beobachterkonzeptionen in einer Übersicht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Konzeption</w:t>
            </w:r>
          </w:p>
        </w:tc>
        <w:tc>
          <w:tcPr/>
          <w:p>
            <w:pPr>
              <w:pStyle w:val="Compact"/>
            </w:pPr>
            <w:r>
              <w:t xml:space="preserve">Operator</w:t>
            </w:r>
          </w:p>
        </w:tc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t xml:space="preserve">Folge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Konstitutiv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w:r>
              <w:t xml:space="preserve">Erzeugt Wirklichkeit</w:t>
            </w:r>
          </w:p>
        </w:tc>
        <w:tc>
          <w:tcPr/>
          <w:p>
            <w:pPr>
              <w:pStyle w:val="Compact"/>
            </w:pPr>
            <w:r>
              <w:t xml:space="preserve">Trinität notwendig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Strukturell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B</m:t>
                  </m:r>
                </m:e>
                <m:sub>
                  <m:r>
                    <m:t>V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w:r>
              <w:t xml:space="preserve">Erfasst Wirklichkeit</w:t>
            </w:r>
          </w:p>
        </w:tc>
        <w:tc>
          <w:tcPr/>
          <w:p>
            <w:pPr>
              <w:pStyle w:val="Compact"/>
            </w:pPr>
            <w:r>
              <w:t xml:space="preserve">Trinität notwendig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Relational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Zustände relativ</w:t>
            </w:r>
          </w:p>
        </w:tc>
        <w:tc>
          <w:tcPr/>
          <w:p>
            <w:pPr>
              <w:pStyle w:val="Compact"/>
            </w:pPr>
            <w:r>
              <w:t xml:space="preserve">Offen</w:t>
            </w:r>
          </w:p>
        </w:tc>
      </w:tr>
    </w:tbl>
    <w:bookmarkEnd w:id="46"/>
    <w:bookmarkStart w:id="47" w:name="nachwort"/>
    <w:p>
      <w:pPr>
        <w:pStyle w:val="Heading1"/>
      </w:pPr>
      <w:r>
        <w:t xml:space="preserve">Nachwort</w:t>
      </w:r>
    </w:p>
    <w:p>
      <w:pPr>
        <w:pStyle w:val="FirstParagraph"/>
      </w:pPr>
      <w:r>
        <w:t xml:space="preserve">Sie haben diese Abhandlung gelesen. Vielleicht hat Sie die Idee überrascht, dass es</w:t>
      </w:r>
      <w:r>
        <w:t xml:space="preserve"> </w:t>
      </w:r>
      <w:r>
        <w:rPr>
          <w:b/>
          <w:bCs/>
        </w:rPr>
        <w:t xml:space="preserve">zwei</w:t>
      </w:r>
      <w:r>
        <w:t xml:space="preserve"> </w:t>
      </w:r>
      <w:r>
        <w:t xml:space="preserve">Beobachterkonzeptionen gibt. Vielleicht hat Sie die Konsequenz beeindruckt, dass beide zur Trinität führen. Beides ist in Ordnung.</w:t>
      </w:r>
    </w:p>
    <w:p>
      <w:pPr>
        <w:pStyle w:val="BodyText"/>
      </w:pPr>
      <w:r>
        <w:t xml:space="preserve">Die Untersuchung hat gezeigt: Der Beobachter ist</w:t>
      </w:r>
      <w:r>
        <w:t xml:space="preserve"> </w:t>
      </w:r>
      <w:r>
        <w:rPr>
          <w:b/>
          <w:bCs/>
        </w:rPr>
        <w:t xml:space="preserve">kein Fundament</w:t>
      </w:r>
      <w:r>
        <w:t xml:space="preserve">, sondern eine</w:t>
      </w:r>
      <w:r>
        <w:t xml:space="preserve"> </w:t>
      </w:r>
      <w:r>
        <w:rPr>
          <w:b/>
          <w:bCs/>
        </w:rPr>
        <w:t xml:space="preserve">Perspektive</w:t>
      </w:r>
      <w:r>
        <w:t xml:space="preserve">. Die Trinität ist</w:t>
      </w:r>
      <w:r>
        <w:t xml:space="preserve"> </w:t>
      </w:r>
      <w:r>
        <w:rPr>
          <w:b/>
          <w:bCs/>
        </w:rPr>
        <w:t xml:space="preserve">robust</w:t>
      </w:r>
      <w:r>
        <w:t xml:space="preserve"> </w:t>
      </w:r>
      <w:r>
        <w:t xml:space="preserve">gegenüber der Wahl der Beobachterkonzeption. Sie folgt aus beiden.</w:t>
      </w:r>
    </w:p>
    <w:p>
      <w:pPr>
        <w:pStyle w:val="BodyText"/>
      </w:pPr>
      <w:r>
        <w:t xml:space="preserve">Was bleibt, ist die Einsicht, dass die Trinität</w:t>
      </w:r>
      <w:r>
        <w:t xml:space="preserve"> </w:t>
      </w:r>
      <w:r>
        <w:rPr>
          <w:b/>
          <w:bCs/>
        </w:rPr>
        <w:t xml:space="preserve">beobachterkonzeptions-invariant</w:t>
      </w:r>
      <w:r>
        <w:t xml:space="preserve"> </w:t>
      </w:r>
      <w:r>
        <w:t xml:space="preserve">ist. Sie ist nicht ein Artefakt einer bestimmten Beobachterkonzeption. Sie ist eine</w:t>
      </w:r>
      <w:r>
        <w:t xml:space="preserve"> </w:t>
      </w:r>
      <w:r>
        <w:rPr>
          <w:b/>
          <w:bCs/>
        </w:rPr>
        <w:t xml:space="preserve">strukturelle</w:t>
      </w:r>
      <w:r>
        <w:t xml:space="preserve"> </w:t>
      </w:r>
      <w:r>
        <w:t xml:space="preserve">Eigenschaft.</w:t>
      </w:r>
    </w:p>
    <w:p>
      <w:pPr>
        <w:pStyle w:val="BodyText"/>
      </w:pPr>
      <w:r>
        <w:t xml:space="preserve">Eine letzte Frage:</w:t>
      </w:r>
    </w:p>
    <w:p>
      <w:pPr>
        <w:pStyle w:val="BlockText"/>
      </w:pPr>
      <w:r>
        <w:rPr>
          <w:b/>
          <w:bCs/>
        </w:rPr>
        <w:t xml:space="preserve">Wagen wir den Sprung in die Offenheit für den Grenzwert — auch wenn es zwei Beobachterkonzeptionen gibt, die nicht identisch sind?</w:t>
      </w:r>
    </w:p>
    <w:p>
      <w:pPr>
        <w:pStyle w:val="FirstParagraph"/>
      </w:pPr>
      <w:r>
        <w:rPr>
          <w:i/>
          <w:iCs/>
        </w:rPr>
        <w:t xml:space="preserve">Diese Abhandlung wurde im Geiste strenger Modallogik verfasst, jedoch in der Sprache der Philosophie – denn die Wahrheit bedarf beider: der Präzision der Formel und der Weite des Begriffs.</w:t>
      </w:r>
    </w:p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Beobachter in zwei Deutungen Modallogik der Messung bei Kopenhagen und MWI</dc:title>
  <dc:creator>Paul Koop</dc:creator>
  <dc:language>de</dc:language>
  <cp:keywords/>
  <dcterms:created xsi:type="dcterms:W3CDTF">2026-09-26T13:06:11Z</dcterms:created>
  <dcterms:modified xsi:type="dcterms:W3CDTF">2026-09-26T13:06:11Z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DieZeitlosigkeitDerSteine2.md spielt der Beobachter eine zentrale Rolle — aber nur in der DeLillo-Perspektive. Das ist die Kopenhagener Seite: Ohne Beobachter keine Messung, ohne Messung kein Kollaps, ohne Kollaps keine Wirklichkeit. Der Beobachter ist konstitutiv. In der Van-Dormael-Perspektive (MWI) gibt es keinen ausgezeichneten Beobachter. Alle Welten existieren unabhängig davon, ob sie beobachtet werden. Die vorliegende Abhandlung führt zwei Beobachter-Operatoren B_D und B_V ein und beweist: In S5+SP+B_D ist die Trinität notwendig. In S5+SP+B_V ist die Trinität auch notwendig, aber aus anderen Gründen. Die metaphysische Konsequenz: Die Notwendigkeit der Trinität ist nicht an eine bestimmte Beobachterkonzeption gebunden. Beide Perspektiven führen zur selben Struktur.</vt:lpwstr>
  </property>
  <property fmtid="{D5CDD505-2E9C-101B-9397-08002B2CF9AE}" pid="3" name="subtitle">
    <vt:lpwstr>Modallogik der Messung bei Kopenhagen und MWI</vt:lpwstr>
  </property>
  <property fmtid="{D5CDD505-2E9C-101B-9397-08002B2CF9AE}" pid="4" name="version">
    <vt:lpwstr>13</vt:lpwstr>
  </property>
</Properties>
</file>