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Observer in Two Interpretations</w:t>
      </w:r>
      <w:r>
        <w:br/>
      </w:r>
      <w:r>
        <w:t xml:space="preserve">Modal Logic of Measurement in Copenhagen and MWI</w:t>
      </w:r>
    </w:p>
    <w:p>
      <w:pPr>
        <w:pStyle w:val="Subtitle"/>
      </w:pPr>
      <w:r>
        <w:t xml:space="preserve">Modal Logic of Measurement in Copenhagen and MWI</w:t>
      </w:r>
    </w:p>
    <w:p>
      <w:pPr>
        <w:pStyle w:val="Author"/>
      </w:pPr>
      <w:r>
        <w:t xml:space="preserve">Paul Koop</w:t>
      </w:r>
    </w:p>
    <w:p>
      <w:pPr>
        <w:pStyle w:val="AbstractTitle"/>
      </w:pPr>
      <w:r>
        <w:t xml:space="preserve">Zusammenfassung</w:t>
      </w:r>
    </w:p>
    <w:p>
      <w:pPr>
        <w:pStyle w:val="Abstract"/>
      </w:pPr>
      <w:r>
        <w:t xml:space="preserve">In DieZeitlosigkeitDerSteine2.md, the observer plays a central role — but</w:t>
      </w:r>
      <w:r>
        <w:t xml:space="preserve"> </w:t>
      </w:r>
      <w:r>
        <w:t xml:space="preserve">only in the DeLillo perspective. That is the Copenhagen side: Without</w:t>
      </w:r>
      <w:r>
        <w:t xml:space="preserve"> </w:t>
      </w:r>
      <w:r>
        <w:t xml:space="preserve">observer no measurement, without measurement no collapse, without</w:t>
      </w:r>
      <w:r>
        <w:t xml:space="preserve"> </w:t>
      </w:r>
      <w:r>
        <w:t xml:space="preserve">collapse no reality. The observer is constitutive. In the Van Dormael</w:t>
      </w:r>
      <w:r>
        <w:t xml:space="preserve"> </w:t>
      </w:r>
      <w:r>
        <w:t xml:space="preserve">perspective (MWI), there is no distinguished observer. All worlds exist</w:t>
      </w:r>
      <w:r>
        <w:t xml:space="preserve"> </w:t>
      </w:r>
      <w:r>
        <w:t xml:space="preserve">independently of whether they are observed. The present treatise</w:t>
      </w:r>
      <w:r>
        <w:t xml:space="preserve"> </w:t>
      </w:r>
      <w:r>
        <w:t xml:space="preserve">introduces two observer operators B_D and B_V and proves: In S5+SP+B_D,</w:t>
      </w:r>
      <w:r>
        <w:t xml:space="preserve"> </w:t>
      </w:r>
      <w:r>
        <w:t xml:space="preserve">the Trinity is necessary. In S5+SP+B_V, the Trinity is also necessary,</w:t>
      </w:r>
      <w:r>
        <w:t xml:space="preserve"> </w:t>
      </w:r>
      <w:r>
        <w:t xml:space="preserve">but for different reasons. The metaphysical consequence: The necessity</w:t>
      </w:r>
      <w:r>
        <w:t xml:space="preserve"> </w:t>
      </w:r>
      <w:r>
        <w:t xml:space="preserve">of the Trinity is not bound to a particular observer conception. Both</w:t>
      </w:r>
      <w:r>
        <w:t xml:space="preserve"> </w:t>
      </w:r>
      <w:r>
        <w:t xml:space="preserve">perspectives lead to the same structure.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Past and future are horizons of knowledge.</w:t>
      </w:r>
      <w:r>
        <w:br/>
      </w:r>
      <w:r>
        <w:rPr>
          <w:i/>
          <w:iCs/>
        </w:rPr>
        <w:t xml:space="preserve">The present is the locus of reality.</w:t>
      </w:r>
      <w:r>
        <w:br/>
      </w:r>
      <w:r>
        <w:rPr>
          <w:i/>
          <w:iCs/>
        </w:rPr>
        <w:t xml:space="preserve">Nothing that was, is lost.</w:t>
      </w:r>
    </w:p>
    <w:bookmarkStart w:id="9" w:name="preface-the-role-of-the-observer"/>
    <w:p>
      <w:pPr>
        <w:pStyle w:val="Heading1"/>
      </w:pPr>
      <w:r>
        <w:t xml:space="preserve">Preface: The Role of the Observer</w:t>
      </w:r>
    </w:p>
    <w:p>
      <w:pPr>
        <w:pStyle w:val="FirstParagraph"/>
      </w:pPr>
      <w:r>
        <w:t xml:space="preserve">In</w:t>
      </w:r>
      <w:r>
        <w:t xml:space="preserve"> </w:t>
      </w:r>
      <w:r>
        <w:rPr>
          <w:rStyle w:val="VerbatimChar"/>
        </w:rPr>
        <w:t xml:space="preserve">DieZeitlosigkeitDerSteine2.md</w:t>
      </w:r>
      <w:r>
        <w:t xml:space="preserve">, the observer plays a central role — but only in the</w:t>
      </w:r>
      <w:r>
        <w:t xml:space="preserve"> </w:t>
      </w:r>
      <w:r>
        <w:rPr>
          <w:b/>
          <w:bCs/>
        </w:rPr>
        <w:t xml:space="preserve">DeLillo perspective</w:t>
      </w:r>
      <w:r>
        <w:t xml:space="preserve">. That is the</w:t>
      </w:r>
      <w:r>
        <w:t xml:space="preserve"> </w:t>
      </w:r>
      <w:r>
        <w:rPr>
          <w:b/>
          <w:bCs/>
        </w:rPr>
        <w:t xml:space="preserve">Copenhagen side</w:t>
      </w:r>
      <w:r>
        <w:t xml:space="preserve"> </w:t>
      </w:r>
      <w:r>
        <w:t xml:space="preserve">of quantum mechanics: Without observer no measurement, without measurement no collapse, without collapse no reality. The observer is</w:t>
      </w:r>
      <w:r>
        <w:t xml:space="preserve"> </w:t>
      </w:r>
      <w:r>
        <w:rPr>
          <w:b/>
          <w:bCs/>
        </w:rPr>
        <w:t xml:space="preserve">constitutive</w:t>
      </w:r>
      <w:r>
        <w:t xml:space="preserve">.</w:t>
      </w:r>
    </w:p>
    <w:p>
      <w:pPr>
        <w:pStyle w:val="BodyText"/>
      </w:pPr>
      <w:r>
        <w:t xml:space="preserve">In the</w:t>
      </w:r>
      <w:r>
        <w:t xml:space="preserve"> </w:t>
      </w:r>
      <w:r>
        <w:rPr>
          <w:b/>
          <w:bCs/>
        </w:rPr>
        <w:t xml:space="preserve">Van Dormael perspective</w:t>
      </w:r>
      <w:r>
        <w:t xml:space="preserve"> </w:t>
      </w:r>
      <w:r>
        <w:t xml:space="preserve">(Many-Worlds Interpretation, MWI), there is</w:t>
      </w:r>
      <w:r>
        <w:t xml:space="preserve"> </w:t>
      </w:r>
      <w:r>
        <w:rPr>
          <w:b/>
          <w:bCs/>
        </w:rPr>
        <w:t xml:space="preserve">no distinguished observer</w:t>
      </w:r>
      <w:r>
        <w:t xml:space="preserve">. All worlds exist independently of whether they are observed. The observer is himself part of the branching.</w:t>
      </w:r>
    </w:p>
    <w:p>
      <w:pPr>
        <w:pStyle w:val="BodyText"/>
      </w:pPr>
      <w:r>
        <w:t xml:space="preserve">In</w:t>
      </w:r>
      <w:r>
        <w:t xml:space="preserve"> </w:t>
      </w:r>
      <w:r>
        <w:rPr>
          <w:rStyle w:val="VerbatimChar"/>
        </w:rPr>
        <w:t xml:space="preserve">modal9.md</w:t>
      </w:r>
      <w:r>
        <w:t xml:space="preserve"> </w:t>
      </w:r>
      <w:r>
        <w:t xml:space="preserve">it was shown: The two perspectives are</w:t>
      </w:r>
      <w:r>
        <w:t xml:space="preserve"> </w:t>
      </w:r>
      <w:r>
        <w:rPr>
          <w:b/>
          <w:bCs/>
        </w:rPr>
        <w:t xml:space="preserve">not compatible</w:t>
      </w:r>
      <w:r>
        <w:t xml:space="preserve">, but</w:t>
      </w:r>
      <w:r>
        <w:t xml:space="preserve"> </w:t>
      </w:r>
      <w:r>
        <w:rPr>
          <w:b/>
          <w:bCs/>
        </w:rPr>
        <w:t xml:space="preserve">simultaneously true</w:t>
      </w:r>
      <w:r>
        <w:t xml:space="preserve">. In</w:t>
      </w:r>
      <w:r>
        <w:t xml:space="preserve"> </w:t>
      </w:r>
      <w:r>
        <w:rPr>
          <w:rStyle w:val="VerbatimChar"/>
        </w:rPr>
        <w:t xml:space="preserve">modal13.md</w:t>
      </w:r>
      <w:r>
        <w:t xml:space="preserve"> </w:t>
      </w:r>
      <w:r>
        <w:t xml:space="preserve">we apply this distinction to the</w:t>
      </w:r>
      <w:r>
        <w:t xml:space="preserve"> </w:t>
      </w:r>
      <w:r>
        <w:rPr>
          <w:b/>
          <w:bCs/>
        </w:rPr>
        <w:t xml:space="preserve">observer</w:t>
      </w:r>
      <w:r>
        <w:t xml:space="preserve">.</w:t>
      </w:r>
    </w:p>
    <w:p>
      <w:pPr>
        <w:pStyle w:val="BodyText"/>
      </w:pPr>
      <w:r>
        <w:t xml:space="preserve">The central claim of this treatise is:</w:t>
      </w:r>
    </w:p>
    <w:p>
      <w:pPr>
        <w:pStyle w:val="BlockText"/>
      </w:pPr>
      <w:r>
        <w:rPr>
          <w:b/>
          <w:bCs/>
        </w:rPr>
        <w:t xml:space="preserve">The necessity of the Trinity is not bound to a particular observer conception. In S5+SP+B_D, the Trinity is necessary for constitutive reasons. In S5+SP+B_V, it is necessary for structural reasons. Both perspectives lead to the same structure.</w:t>
      </w:r>
    </w:p>
    <w:p>
      <w:pPr>
        <w:pStyle w:val="FirstParagraph"/>
      </w:pPr>
      <w:r>
        <w:t xml:space="preserve">The investigation remains faithful to the self-understanding of</w:t>
      </w:r>
      <w:r>
        <w:t xml:space="preserve"> </w:t>
      </w:r>
      <w:r>
        <w:rPr>
          <w:rStyle w:val="VerbatimChar"/>
        </w:rPr>
        <w:t xml:space="preserve">modal5.md</w:t>
      </w:r>
      <w:r>
        <w:t xml:space="preserve">: It shows</w:t>
      </w:r>
      <w:r>
        <w:t xml:space="preserve"> </w:t>
      </w:r>
      <w:r>
        <w:rPr>
          <w:b/>
          <w:bCs/>
        </w:rPr>
        <w:t xml:space="preserve">dependencies</w:t>
      </w:r>
      <w:r>
        <w:t xml:space="preserve">, not truths. It shows that the observer is</w:t>
      </w:r>
      <w:r>
        <w:t xml:space="preserve"> </w:t>
      </w:r>
      <w:r>
        <w:rPr>
          <w:b/>
          <w:bCs/>
        </w:rPr>
        <w:t xml:space="preserve">not a foundation</w:t>
      </w:r>
      <w:r>
        <w:t xml:space="preserve">, but a</w:t>
      </w:r>
      <w:r>
        <w:t xml:space="preserve"> </w:t>
      </w:r>
      <w:r>
        <w:rPr>
          <w:b/>
          <w:bCs/>
        </w:rPr>
        <w:t xml:space="preserve">perspective</w:t>
      </w:r>
      <w:r>
        <w:t xml:space="preserve">.</w:t>
      </w:r>
    </w:p>
    <w:bookmarkEnd w:id="9"/>
    <w:bookmarkStart w:id="14" w:name="two-observer-operators"/>
    <w:p>
      <w:pPr>
        <w:pStyle w:val="Heading1"/>
      </w:pPr>
      <w:r>
        <w:t xml:space="preserve">Two Observer Operators</w:t>
      </w:r>
    </w:p>
    <w:bookmarkStart w:id="10" w:name="the-basic-idea"/>
    <w:p>
      <w:pPr>
        <w:pStyle w:val="Heading2"/>
      </w:pPr>
      <w:r>
        <w:t xml:space="preserve">The Basic Idea</w:t>
      </w:r>
    </w:p>
    <w:p>
      <w:pPr>
        <w:pStyle w:val="FirstParagraph"/>
      </w:pPr>
      <w:r>
        <w:t xml:space="preserve">Classical modal logic has</w:t>
      </w:r>
      <w:r>
        <w:t xml:space="preserve"> </w:t>
      </w:r>
      <w:r>
        <w:rPr>
          <w:b/>
          <w:bCs/>
        </w:rPr>
        <w:t xml:space="preserve">one</w:t>
      </w:r>
      <w:r>
        <w:t xml:space="preserve"> </w:t>
      </w:r>
      <w:r>
        <w:t xml:space="preserve">necessity operator</w:t>
      </w:r>
      <w:r>
        <w:t xml:space="preserve"> </w:t>
      </w:r>
      <m:oMath>
        <m:r>
          <m:rPr>
            <m:sty m:val="p"/>
          </m:rPr>
          <m:t>□</m:t>
        </m:r>
      </m:oMath>
      <w:r>
        <w:t xml:space="preserve">.</w:t>
      </w:r>
      <w:r>
        <w:t xml:space="preserve"> </w:t>
      </w:r>
      <w:r>
        <w:rPr>
          <w:b/>
          <w:bCs/>
        </w:rPr>
        <w:t xml:space="preserve">Observer modal logic</w:t>
      </w:r>
      <w:r>
        <w:t xml:space="preserve"> </w:t>
      </w:r>
      <w:r>
        <w:t xml:space="preserve">has</w:t>
      </w:r>
      <w:r>
        <w:t xml:space="preserve"> </w:t>
      </w:r>
      <w:r>
        <w:rPr>
          <w:b/>
          <w:bCs/>
        </w:rPr>
        <w:t xml:space="preserve">two</w:t>
      </w:r>
      <w:r>
        <w:t xml:space="preserve"> </w:t>
      </w:r>
      <w:r>
        <w:t xml:space="preserve">operators — one for each observer conception.</w:t>
      </w:r>
    </w:p>
    <w:p>
      <w:pPr>
        <w:pStyle w:val="BodyText"/>
      </w:pPr>
      <w:r>
        <w:rPr>
          <w:b/>
          <w:bCs/>
        </w:rPr>
        <w:t xml:space="preserve">Intuition:</w:t>
      </w:r>
      <w:r>
        <w:t xml:space="preserve"> </w:t>
      </w:r>
      <w:r>
        <w:t xml:space="preserve">The observer is not a single mode, but a</w:t>
      </w:r>
      <w:r>
        <w:t xml:space="preserve"> </w:t>
      </w:r>
      <w:r>
        <w:rPr>
          <w:b/>
          <w:bCs/>
        </w:rPr>
        <w:t xml:space="preserve">family of modes</w:t>
      </w:r>
      <w:r>
        <w:t xml:space="preserve">.</w:t>
      </w:r>
    </w:p>
    <w:bookmarkEnd w:id="10"/>
    <w:bookmarkStart w:id="11" w:name="the-language"/>
    <w:p>
      <w:pPr>
        <w:pStyle w:val="Heading2"/>
      </w:pPr>
      <w:r>
        <w:t xml:space="preserve">The Language</w:t>
      </w:r>
    </w:p>
    <w:p>
      <w:pPr>
        <w:pStyle w:val="FirstParagraph"/>
      </w:pPr>
      <w:r>
        <w:t xml:space="preserve">We extend the language of S5+SP by</w:t>
      </w:r>
      <w:r>
        <w:t xml:space="preserve"> </w:t>
      </w:r>
      <w:r>
        <w:rPr>
          <w:b/>
          <w:bCs/>
        </w:rPr>
        <w:t xml:space="preserve">two</w:t>
      </w:r>
      <w:r>
        <w:t xml:space="preserve"> </w:t>
      </w:r>
      <w:r>
        <w:t xml:space="preserve">observer operators:</w:t>
      </w:r>
    </w:p>
    <w:p>
      <w:pPr>
        <w:pStyle w:val="Compact"/>
        <w:numPr>
          <w:ilvl w:val="0"/>
          <w:numId w:val="1001"/>
        </w:numPr>
      </w:pPr>
      <m:oMath>
        <m:sSub>
          <m:e>
            <m:r>
              <m:rPr>
                <m:scr m:val="script"/>
                <m:sty m:val="p"/>
              </m:rPr>
              <m:t>B</m:t>
            </m:r>
          </m:e>
          <m:sub>
            <m:r>
              <m:t>D</m:t>
            </m:r>
          </m:sub>
        </m:sSub>
        <m:r>
          <m:t>p</m:t>
        </m:r>
      </m:oMath>
      <w:r>
        <w:t xml:space="preserve">:</w:t>
      </w:r>
      <w:r>
        <w:t xml:space="preserve"> </w:t>
      </w:r>
      <w:r>
        <w:t xml:space="preserve">“p holds under the DeLillo observer (constitutive).”</w:t>
      </w:r>
    </w:p>
    <w:p>
      <w:pPr>
        <w:pStyle w:val="Compact"/>
        <w:numPr>
          <w:ilvl w:val="0"/>
          <w:numId w:val="1001"/>
        </w:numPr>
      </w:pPr>
      <m:oMath>
        <m:sSub>
          <m:e>
            <m:r>
              <m:rPr>
                <m:scr m:val="script"/>
                <m:sty m:val="p"/>
              </m:rPr>
              <m:t>B</m:t>
            </m:r>
          </m:e>
          <m:sub>
            <m:r>
              <m:t>V</m:t>
            </m:r>
          </m:sub>
        </m:sSub>
        <m:r>
          <m:t>p</m:t>
        </m:r>
      </m:oMath>
      <w:r>
        <w:t xml:space="preserve">:</w:t>
      </w:r>
      <w:r>
        <w:t xml:space="preserve"> </w:t>
      </w:r>
      <w:r>
        <w:t xml:space="preserve">“p holds under the Van Dormael observer (non-constitutive).”</w:t>
      </w:r>
    </w:p>
    <w:p>
      <w:pPr>
        <w:pStyle w:val="FirstParagraph"/>
      </w:pPr>
      <w:r>
        <w:rPr>
          <w:b/>
          <w:bCs/>
        </w:rPr>
        <w:t xml:space="preserve">Important:</w:t>
      </w:r>
      <w:r>
        <w:t xml:space="preserve"> </w:t>
      </w:r>
      <w:r>
        <w:t xml:space="preserve">These operators are</w:t>
      </w:r>
      <w:r>
        <w:t xml:space="preserve"> </w:t>
      </w:r>
      <w:r>
        <w:rPr>
          <w:b/>
          <w:bCs/>
        </w:rPr>
        <w:t xml:space="preserve">modal</w:t>
      </w:r>
      <w:r>
        <w:t xml:space="preserve"> </w:t>
      </w:r>
      <w:r>
        <w:t xml:space="preserve">— they describe the role of the observer in the structure of reality.</w:t>
      </w:r>
    </w:p>
    <w:bookmarkEnd w:id="11"/>
    <w:bookmarkStart w:id="12" w:name="the-semantics"/>
    <w:p>
      <w:pPr>
        <w:pStyle w:val="Heading2"/>
      </w:pPr>
      <w:r>
        <w:t xml:space="preserve">The Semantics</w:t>
      </w:r>
    </w:p>
    <w:p>
      <w:pPr>
        <w:pStyle w:val="FirstParagraph"/>
      </w:pPr>
      <w:r>
        <w:t xml:space="preserve">The two operators have</w:t>
      </w:r>
      <w:r>
        <w:t xml:space="preserve"> </w:t>
      </w:r>
      <w:r>
        <w:rPr>
          <w:b/>
          <w:bCs/>
        </w:rPr>
        <w:t xml:space="preserve">different</w:t>
      </w:r>
      <w:r>
        <w:t xml:space="preserve"> </w:t>
      </w:r>
      <w:r>
        <w:t xml:space="preserve">semantics:</w:t>
      </w:r>
    </w:p>
    <w:p>
      <w:pPr>
        <w:pStyle w:val="BodyText"/>
      </w:pPr>
      <m:oMathPara>
        <m:oMathParaPr>
          <m:jc m:val="center"/>
        </m:oMathParaPr>
        <m:oMath>
          <m:eqArr>
            <m:e>
              <m:sSub>
                <m:e>
                  <m:r>
                    <m:rPr>
                      <m:scr m:val="script"/>
                      <m:sty m:val="p"/>
                    </m:rPr>
                    <m:t>B</m:t>
                  </m:r>
                </m:e>
                <m:sub>
                  <m:r>
                    <m:t>D</m:t>
                  </m:r>
                </m:sub>
              </m:sSub>
              <m:r>
                <m:t>p</m:t>
              </m:r>
              <m:r>
                <m:rPr>
                  <m:sty m:val="p"/>
                </m:rPr>
                <m:t>@</m:t>
              </m:r>
              <m:r>
                <m:t>w</m:t>
              </m:r>
              <m:r>
                <m:t>&amp;</m:t>
              </m:r>
              <m:r>
                <m:rPr>
                  <m:sty m:val="p"/>
                </m:rPr>
                <m:t>⇔</m:t>
              </m:r>
              <m:r>
                <m:rPr>
                  <m:nor/>
                  <m:sty m:val="p"/>
                </m:rPr>
                <m:t>the observer in </m:t>
              </m:r>
              <m:r>
                <m:t>w</m:t>
              </m:r>
              <m:r>
                <m:rPr>
                  <m:nor/>
                  <m:sty m:val="p"/>
                </m:rPr>
                <m:t> constitutes </m:t>
              </m:r>
              <m:r>
                <m:t>p</m:t>
              </m:r>
            </m:e>
            <m:e>
              <m:sSub>
                <m:e>
                  <m:r>
                    <m:rPr>
                      <m:scr m:val="script"/>
                      <m:sty m:val="p"/>
                    </m:rPr>
                    <m:t>B</m:t>
                  </m:r>
                </m:e>
                <m:sub>
                  <m:r>
                    <m:t>V</m:t>
                  </m:r>
                </m:sub>
              </m:sSub>
              <m:r>
                <m:t>p</m:t>
              </m:r>
              <m:r>
                <m:rPr>
                  <m:sty m:val="p"/>
                </m:rPr>
                <m:t>@</m:t>
              </m:r>
              <m:r>
                <m:t>w</m:t>
              </m:r>
              <m:r>
                <m:t>&amp;</m:t>
              </m:r>
              <m:r>
                <m:rPr>
                  <m:sty m:val="p"/>
                </m:rPr>
                <m:t>⇔</m:t>
              </m:r>
              <m:r>
                <m:t>p</m:t>
              </m:r>
              <m:r>
                <m:rPr>
                  <m:nor/>
                  <m:sty m:val="p"/>
                </m:rPr>
                <m:t> holds structurally in </m:t>
              </m:r>
              <m:r>
                <m:t>w</m:t>
              </m:r>
              <m:r>
                <m:rPr>
                  <m:nor/>
                  <m:sty m:val="p"/>
                </m:rPr>
                <m:t>, independent of the observer</m:t>
              </m:r>
            </m:e>
          </m:eqArr>
        </m:oMath>
      </m:oMathPara>
    </w:p>
    <w:p>
      <w:pPr>
        <w:pStyle w:val="FirstParagraph"/>
      </w:pPr>
      <w:r>
        <w:rPr>
          <w:b/>
          <w:bCs/>
        </w:rPr>
        <w:t xml:space="preserve">Explanation:</w:t>
      </w:r>
    </w:p>
    <w:p>
      <w:pPr>
        <w:pStyle w:val="Compact"/>
        <w:numPr>
          <w:ilvl w:val="0"/>
          <w:numId w:val="1002"/>
        </w:numPr>
      </w:pPr>
      <m:oMath>
        <m:sSub>
          <m:e>
            <m:r>
              <m:rPr>
                <m:scr m:val="script"/>
                <m:sty m:val="p"/>
              </m:rPr>
              <m:t>B</m:t>
            </m:r>
          </m:e>
          <m:sub>
            <m:r>
              <m:t>D</m:t>
            </m:r>
          </m:sub>
        </m:sSub>
        <m:r>
          <m:t>p</m:t>
        </m:r>
      </m:oMath>
      <w:r>
        <w:t xml:space="preserve">: p holds</w:t>
      </w:r>
      <w:r>
        <w:t xml:space="preserve"> </w:t>
      </w:r>
      <w:r>
        <w:rPr>
          <w:b/>
          <w:bCs/>
        </w:rPr>
        <w:t xml:space="preserve">because</w:t>
      </w:r>
      <w:r>
        <w:t xml:space="preserve"> </w:t>
      </w:r>
      <w:r>
        <w:t xml:space="preserve">the observer constitutes it.</w:t>
      </w:r>
    </w:p>
    <w:p>
      <w:pPr>
        <w:pStyle w:val="Compact"/>
        <w:numPr>
          <w:ilvl w:val="0"/>
          <w:numId w:val="1002"/>
        </w:numPr>
      </w:pPr>
      <m:oMath>
        <m:sSub>
          <m:e>
            <m:r>
              <m:rPr>
                <m:scr m:val="script"/>
                <m:sty m:val="p"/>
              </m:rPr>
              <m:t>B</m:t>
            </m:r>
          </m:e>
          <m:sub>
            <m:r>
              <m:t>V</m:t>
            </m:r>
          </m:sub>
        </m:sSub>
        <m:r>
          <m:t>p</m:t>
        </m:r>
      </m:oMath>
      <w:r>
        <w:t xml:space="preserve">: p holds</w:t>
      </w:r>
      <w:r>
        <w:t xml:space="preserve"> </w:t>
      </w:r>
      <w:r>
        <w:rPr>
          <w:b/>
          <w:bCs/>
        </w:rPr>
        <w:t xml:space="preserve">structurally</w:t>
      </w:r>
      <w:r>
        <w:t xml:space="preserve">, even without observer.</w:t>
      </w:r>
    </w:p>
    <w:bookmarkEnd w:id="12"/>
    <w:bookmarkStart w:id="13" w:name="the-two-observer-conceptions"/>
    <w:p>
      <w:pPr>
        <w:pStyle w:val="Heading2"/>
      </w:pPr>
      <w:r>
        <w:t xml:space="preserve">The Two Observer Conceptions</w:t>
      </w:r>
    </w:p>
    <w:p>
      <w:pPr>
        <w:pStyle w:val="FirstParagraph"/>
      </w:pPr>
      <w:r>
        <w:rPr>
          <w:b/>
          <w:bCs/>
        </w:rPr>
        <w:t xml:space="preserve">DeLillo observer (</w:t>
      </w:r>
      <m:oMath>
        <m:sSub>
          <m:e>
            <m:r>
              <m:rPr>
                <m:scr m:val="script"/>
                <m:sty m:val="p"/>
              </m:rPr>
              <m:t>B</m:t>
            </m:r>
          </m:e>
          <m:sub>
            <m:r>
              <m:t>D</m:t>
            </m:r>
          </m:sub>
        </m:sSub>
      </m:oMath>
      <w:r>
        <w:rPr>
          <w:b/>
          <w:bCs/>
        </w:rPr>
        <w:t xml:space="preserve">):</w:t>
      </w:r>
      <w:r>
        <w:t xml:space="preserve"> </w:t>
      </w:r>
      <w:r>
        <w:t xml:space="preserve">The observer is</w:t>
      </w:r>
      <w:r>
        <w:t xml:space="preserve"> </w:t>
      </w:r>
      <w:r>
        <w:rPr>
          <w:b/>
          <w:bCs/>
        </w:rPr>
        <w:t xml:space="preserve">constitutive</w:t>
      </w:r>
      <w:r>
        <w:t xml:space="preserve">. Without him there is no reality. He is necessary for the collapse of the wave function. He is a</w:t>
      </w:r>
      <w:r>
        <w:t xml:space="preserve"> </w:t>
      </w:r>
      <w:r>
        <w:rPr>
          <w:b/>
          <w:bCs/>
        </w:rPr>
        <w:t xml:space="preserve">singular event</w:t>
      </w:r>
      <w:r>
        <w:t xml:space="preserve">.</w:t>
      </w:r>
    </w:p>
    <w:p>
      <w:pPr>
        <w:pStyle w:val="BodyText"/>
      </w:pPr>
      <w:r>
        <w:rPr>
          <w:b/>
          <w:bCs/>
        </w:rPr>
        <w:t xml:space="preserve">Van Dormael observer (</w:t>
      </w:r>
      <m:oMath>
        <m:sSub>
          <m:e>
            <m:r>
              <m:rPr>
                <m:scr m:val="script"/>
                <m:sty m:val="p"/>
              </m:rPr>
              <m:t>B</m:t>
            </m:r>
          </m:e>
          <m:sub>
            <m:r>
              <m:t>V</m:t>
            </m:r>
          </m:sub>
        </m:sSub>
      </m:oMath>
      <w:r>
        <w:rPr>
          <w:b/>
          <w:bCs/>
        </w:rPr>
        <w:t xml:space="preserve">):</w:t>
      </w:r>
      <w:r>
        <w:t xml:space="preserve"> </w:t>
      </w:r>
      <w:r>
        <w:t xml:space="preserve">The observer is</w:t>
      </w:r>
      <w:r>
        <w:t xml:space="preserve"> </w:t>
      </w:r>
      <w:r>
        <w:rPr>
          <w:b/>
          <w:bCs/>
        </w:rPr>
        <w:t xml:space="preserve">non-constitutive</w:t>
      </w:r>
      <w:r>
        <w:t xml:space="preserve">. He is himself part of the branching. Every world has its own observer. He is</w:t>
      </w:r>
      <w:r>
        <w:t xml:space="preserve"> </w:t>
      </w:r>
      <w:r>
        <w:rPr>
          <w:b/>
          <w:bCs/>
        </w:rPr>
        <w:t xml:space="preserve">multiple</w:t>
      </w:r>
      <w:r>
        <w:t xml:space="preserve">.</w:t>
      </w:r>
    </w:p>
    <w:bookmarkEnd w:id="13"/>
    <w:bookmarkEnd w:id="14"/>
    <w:bookmarkStart w:id="19" w:name="the-axioms-b1b4"/>
    <w:p>
      <w:pPr>
        <w:pStyle w:val="Heading1"/>
      </w:pPr>
      <w:r>
        <w:t xml:space="preserve">The Axioms B1–B4</w:t>
      </w:r>
    </w:p>
    <w:bookmarkStart w:id="15" w:name="b1-constitutivity-implies-reality"/>
    <w:p>
      <w:pPr>
        <w:pStyle w:val="Heading2"/>
      </w:pPr>
      <w:r>
        <w:t xml:space="preserve">B1: Constitutivity Implies Reality</w:t>
      </w:r>
    </w:p>
    <w:p>
      <w:pPr>
        <w:pStyle w:val="FirstParagraph"/>
      </w:pPr>
      <m:oMathPara>
        <m:oMathParaPr>
          <m:jc m:val="center"/>
        </m:oMathParaPr>
        <m:oMath>
          <m:borderBox>
            <m:e>
              <m:r>
                <m:t>B</m:t>
              </m:r>
              <m:r>
                <m:t>1</m:t>
              </m:r>
              <m:box>
                <m:boxPr>
                  <m:opEmu m:val="on"/>
                </m:boxPr>
                <m:e>
                  <m:r>
                    <m:rPr>
                      <m:sty m:val="p"/>
                    </m:rPr>
                    <m:t>:=</m:t>
                  </m:r>
                </m:e>
              </m:box>
              <m:r>
                <m:rPr>
                  <m:sty m:val="p"/>
                </m:rPr>
                <m:t>□</m:t>
              </m:r>
              <m:r>
                <m:rPr>
                  <m:sty m:val="p"/>
                </m:rPr>
                <m:t>(</m:t>
              </m:r>
              <m:sSub>
                <m:e>
                  <m:r>
                    <m:rPr>
                      <m:scr m:val="script"/>
                      <m:sty m:val="p"/>
                    </m:rPr>
                    <m:t>B</m:t>
                  </m:r>
                </m:e>
                <m:sub>
                  <m:r>
                    <m:t>D</m:t>
                  </m:r>
                </m:sub>
              </m:sSub>
              <m:r>
                <m:t>p</m:t>
              </m:r>
              <m:r>
                <m:rPr>
                  <m:sty m:val="p"/>
                </m:rPr>
                <m:t>→</m:t>
              </m:r>
              <m:r>
                <m:t>p</m:t>
              </m:r>
              <m:r>
                <m:rPr>
                  <m:sty m:val="p"/>
                </m:rPr>
                <m:t>)</m:t>
              </m:r>
            </m:e>
          </m:borderBox>
        </m:oMath>
      </m:oMathPara>
    </w:p>
    <w:p>
      <w:pPr>
        <w:pStyle w:val="FirstParagraph"/>
      </w:pPr>
      <w:r>
        <w:rPr>
          <w:b/>
          <w:bCs/>
        </w:rPr>
        <w:t xml:space="preserve">Reading:</w:t>
      </w:r>
      <w:r>
        <w:t xml:space="preserve"> </w:t>
      </w:r>
      <w:r>
        <w:t xml:space="preserve">If the DeLillo observer constitutes p, then p holds.</w:t>
      </w:r>
    </w:p>
    <w:p>
      <w:pPr>
        <w:pStyle w:val="BodyText"/>
      </w:pPr>
      <w:r>
        <w:rPr>
          <w:b/>
          <w:bCs/>
        </w:rPr>
        <w:t xml:space="preserve">Metaphysical meaning:</w:t>
      </w:r>
      <w:r>
        <w:t xml:space="preserve"> </w:t>
      </w:r>
      <w:r>
        <w:t xml:space="preserve">The constitutive observer</w:t>
      </w:r>
      <w:r>
        <w:t xml:space="preserve"> </w:t>
      </w:r>
      <w:r>
        <w:rPr>
          <w:b/>
          <w:bCs/>
        </w:rPr>
        <w:t xml:space="preserve">generates</w:t>
      </w:r>
      <w:r>
        <w:t xml:space="preserve"> </w:t>
      </w:r>
      <w:r>
        <w:t xml:space="preserve">reality. What he constitutes is real.</w:t>
      </w:r>
    </w:p>
    <w:bookmarkEnd w:id="15"/>
    <w:bookmarkStart w:id="16" w:name="b2-structure-implies-reality"/>
    <w:p>
      <w:pPr>
        <w:pStyle w:val="Heading2"/>
      </w:pPr>
      <w:r>
        <w:t xml:space="preserve">B2: Structure Implies Reality</w:t>
      </w:r>
    </w:p>
    <w:p>
      <w:pPr>
        <w:pStyle w:val="FirstParagraph"/>
      </w:pPr>
      <m:oMathPara>
        <m:oMathParaPr>
          <m:jc m:val="center"/>
        </m:oMathParaPr>
        <m:oMath>
          <m:borderBox>
            <m:e>
              <m:r>
                <m:t>B</m:t>
              </m:r>
              <m:r>
                <m:t>2</m:t>
              </m:r>
              <m:box>
                <m:boxPr>
                  <m:opEmu m:val="on"/>
                </m:boxPr>
                <m:e>
                  <m:r>
                    <m:rPr>
                      <m:sty m:val="p"/>
                    </m:rPr>
                    <m:t>:=</m:t>
                  </m:r>
                </m:e>
              </m:box>
              <m:r>
                <m:rPr>
                  <m:sty m:val="p"/>
                </m:rPr>
                <m:t>□</m:t>
              </m:r>
              <m:r>
                <m:rPr>
                  <m:sty m:val="p"/>
                </m:rPr>
                <m:t>(</m:t>
              </m:r>
              <m:sSub>
                <m:e>
                  <m:r>
                    <m:rPr>
                      <m:scr m:val="script"/>
                      <m:sty m:val="p"/>
                    </m:rPr>
                    <m:t>B</m:t>
                  </m:r>
                </m:e>
                <m:sub>
                  <m:r>
                    <m:t>V</m:t>
                  </m:r>
                </m:sub>
              </m:sSub>
              <m:r>
                <m:t>p</m:t>
              </m:r>
              <m:r>
                <m:rPr>
                  <m:sty m:val="p"/>
                </m:rPr>
                <m:t>→</m:t>
              </m:r>
              <m:r>
                <m:t>p</m:t>
              </m:r>
              <m:r>
                <m:rPr>
                  <m:sty m:val="p"/>
                </m:rPr>
                <m:t>)</m:t>
              </m:r>
            </m:e>
          </m:borderBox>
        </m:oMath>
      </m:oMathPara>
    </w:p>
    <w:p>
      <w:pPr>
        <w:pStyle w:val="FirstParagraph"/>
      </w:pPr>
      <w:r>
        <w:rPr>
          <w:b/>
          <w:bCs/>
        </w:rPr>
        <w:t xml:space="preserve">Reading:</w:t>
      </w:r>
      <w:r>
        <w:t xml:space="preserve"> </w:t>
      </w:r>
      <w:r>
        <w:t xml:space="preserve">If p holds structurally, then p holds.</w:t>
      </w:r>
    </w:p>
    <w:p>
      <w:pPr>
        <w:pStyle w:val="BodyText"/>
      </w:pPr>
      <w:r>
        <w:rPr>
          <w:b/>
          <w:bCs/>
        </w:rPr>
        <w:t xml:space="preserve">Metaphysical meaning:</w:t>
      </w:r>
      <w:r>
        <w:t xml:space="preserve"> </w:t>
      </w:r>
      <w:r>
        <w:t xml:space="preserve">Structural reality is</w:t>
      </w:r>
      <w:r>
        <w:t xml:space="preserve"> </w:t>
      </w:r>
      <w:r>
        <w:rPr>
          <w:b/>
          <w:bCs/>
        </w:rPr>
        <w:t xml:space="preserve">independent</w:t>
      </w:r>
      <w:r>
        <w:t xml:space="preserve"> </w:t>
      </w:r>
      <w:r>
        <w:t xml:space="preserve">of the observer. It holds even when no one observes it.</w:t>
      </w:r>
    </w:p>
    <w:bookmarkEnd w:id="16"/>
    <w:bookmarkStart w:id="17" w:name="b3-observer-relativity"/>
    <w:p>
      <w:pPr>
        <w:pStyle w:val="Heading2"/>
      </w:pPr>
      <w:r>
        <w:t xml:space="preserve">B3: Observer Relativity</w:t>
      </w:r>
    </w:p>
    <w:p>
      <w:pPr>
        <w:pStyle w:val="FirstParagraph"/>
      </w:pPr>
      <m:oMathPara>
        <m:oMathParaPr>
          <m:jc m:val="center"/>
        </m:oMathParaPr>
        <m:oMath>
          <m:borderBox>
            <m:e>
              <m:r>
                <m:t>B</m:t>
              </m:r>
              <m:r>
                <m:t>3</m:t>
              </m:r>
              <m:box>
                <m:boxPr>
                  <m:opEmu m:val="on"/>
                </m:boxPr>
                <m:e>
                  <m:r>
                    <m:rPr>
                      <m:sty m:val="p"/>
                    </m:rPr>
                    <m:t>:=</m:t>
                  </m:r>
                </m:e>
              </m:box>
              <m:r>
                <m:rPr>
                  <m:sty m:val="p"/>
                </m:rPr>
                <m:t>□</m:t>
              </m:r>
              <m:r>
                <m:rPr>
                  <m:sty m:val="p"/>
                </m:rPr>
                <m:t>(</m:t>
              </m:r>
              <m:sSub>
                <m:e>
                  <m:r>
                    <m:rPr>
                      <m:scr m:val="script"/>
                      <m:sty m:val="p"/>
                    </m:rPr>
                    <m:t>B</m:t>
                  </m:r>
                </m:e>
                <m:sub>
                  <m:r>
                    <m:t>D</m:t>
                  </m:r>
                </m:sub>
              </m:sSub>
              <m:r>
                <m:t>p</m:t>
              </m:r>
              <m:r>
                <m:rPr>
                  <m:sty m:val="p"/>
                </m:rPr>
                <m:t>↔</m:t>
              </m:r>
              <m:sSub>
                <m:e>
                  <m:r>
                    <m:rPr>
                      <m:scr m:val="script"/>
                      <m:sty m:val="p"/>
                    </m:rPr>
                    <m:t>B</m:t>
                  </m:r>
                </m:e>
                <m:sub>
                  <m:r>
                    <m:t>V</m:t>
                  </m:r>
                </m:sub>
              </m:sSub>
              <m:r>
                <m:t>p</m:t>
              </m:r>
              <m:r>
                <m:rPr>
                  <m:sty m:val="p"/>
                </m:rPr>
                <m:t>)</m:t>
              </m:r>
            </m:e>
          </m:borderBox>
        </m:oMath>
      </m:oMathPara>
    </w:p>
    <w:p>
      <w:pPr>
        <w:pStyle w:val="FirstParagraph"/>
      </w:pPr>
      <w:r>
        <w:rPr>
          <w:b/>
          <w:bCs/>
        </w:rPr>
        <w:t xml:space="preserve">Reading:</w:t>
      </w:r>
      <w:r>
        <w:t xml:space="preserve"> </w:t>
      </w:r>
      <w:r>
        <w:t xml:space="preserve">The two observer conceptions are</w:t>
      </w:r>
      <w:r>
        <w:t xml:space="preserve"> </w:t>
      </w:r>
      <w:r>
        <w:rPr>
          <w:b/>
          <w:bCs/>
        </w:rPr>
        <w:t xml:space="preserve">equivalent</w:t>
      </w:r>
      <w:r>
        <w:t xml:space="preserve"> </w:t>
      </w:r>
      <w:r>
        <w:t xml:space="preserve">— they lead to the same statements.</w:t>
      </w:r>
    </w:p>
    <w:p>
      <w:pPr>
        <w:pStyle w:val="BodyText"/>
      </w:pPr>
      <w:r>
        <w:rPr>
          <w:b/>
          <w:bCs/>
        </w:rPr>
        <w:t xml:space="preserve">Metaphysical meaning:</w:t>
      </w:r>
      <w:r>
        <w:t xml:space="preserve"> </w:t>
      </w:r>
      <w:r>
        <w:t xml:space="preserve">Although the two conceptions are different, they lead to</w:t>
      </w:r>
      <w:r>
        <w:t xml:space="preserve"> </w:t>
      </w:r>
      <w:r>
        <w:rPr>
          <w:b/>
          <w:bCs/>
        </w:rPr>
        <w:t xml:space="preserve">the same</w:t>
      </w:r>
      <w:r>
        <w:t xml:space="preserve"> </w:t>
      </w:r>
      <w:r>
        <w:t xml:space="preserve">statements. Reality is</w:t>
      </w:r>
      <w:r>
        <w:t xml:space="preserve"> </w:t>
      </w:r>
      <w:r>
        <w:rPr>
          <w:b/>
          <w:bCs/>
        </w:rPr>
        <w:t xml:space="preserve">observer-conception-invariant</w:t>
      </w:r>
      <w:r>
        <w:t xml:space="preserve">.</w:t>
      </w:r>
    </w:p>
    <w:bookmarkEnd w:id="17"/>
    <w:bookmarkStart w:id="18" w:name="b4-trinity-under-both-observers"/>
    <w:p>
      <w:pPr>
        <w:pStyle w:val="Heading2"/>
      </w:pPr>
      <w:r>
        <w:t xml:space="preserve">B4: Trinity under Both Observers</w:t>
      </w:r>
    </w:p>
    <w:p>
      <w:pPr>
        <w:pStyle w:val="FirstParagraph"/>
      </w:pPr>
      <m:oMathPara>
        <m:oMathParaPr>
          <m:jc m:val="center"/>
        </m:oMathParaPr>
        <m:oMath>
          <m:borderBox>
            <m:e>
              <m:r>
                <m:t>B</m:t>
              </m:r>
              <m:r>
                <m:t>4</m:t>
              </m:r>
              <m:box>
                <m:boxPr>
                  <m:opEmu m:val="on"/>
                </m:boxPr>
                <m:e>
                  <m:r>
                    <m:rPr>
                      <m:sty m:val="p"/>
                    </m:rPr>
                    <m:t>:=</m:t>
                  </m:r>
                </m:e>
              </m:box>
              <m:r>
                <m:rPr>
                  <m:sty m:val="p"/>
                </m:rPr>
                <m:t>□</m:t>
              </m:r>
              <m:r>
                <m:rPr>
                  <m:sty m:val="p"/>
                </m:rPr>
                <m:t>(</m:t>
              </m:r>
              <m:sSub>
                <m:e>
                  <m:r>
                    <m:rPr>
                      <m:scr m:val="script"/>
                      <m:sty m:val="p"/>
                    </m:rPr>
                    <m:t>B</m:t>
                  </m:r>
                </m:e>
                <m:sub>
                  <m:r>
                    <m:t>D</m:t>
                  </m:r>
                </m:sub>
              </m:sSub>
              <m:r>
                <m:rPr>
                  <m:sty m:val="p"/>
                </m:rPr>
                <m:t>(</m:t>
              </m:r>
              <m:r>
                <m:t>U</m:t>
              </m:r>
              <m:r>
                <m:rPr>
                  <m:sty m:val="p"/>
                </m:rPr>
                <m:t>∧</m:t>
              </m:r>
              <m:r>
                <m:t>T</m:t>
              </m:r>
              <m:r>
                <m:rPr>
                  <m:sty m:val="p"/>
                </m:rPr>
                <m:t>∧</m:t>
              </m:r>
              <m:r>
                <m:t>S</m:t>
              </m:r>
              <m:r>
                <m:rPr>
                  <m:sty m:val="p"/>
                </m:rPr>
                <m:t>)</m:t>
              </m:r>
              <m:r>
                <m:rPr>
                  <m:sty m:val="p"/>
                </m:rPr>
                <m:t>∧</m:t>
              </m:r>
              <m:sSub>
                <m:e>
                  <m:r>
                    <m:rPr>
                      <m:scr m:val="script"/>
                      <m:sty m:val="p"/>
                    </m:rPr>
                    <m:t>B</m:t>
                  </m:r>
                </m:e>
                <m:sub>
                  <m:r>
                    <m:t>V</m:t>
                  </m:r>
                </m:sub>
              </m:sSub>
              <m:r>
                <m:rPr>
                  <m:sty m:val="p"/>
                </m:rPr>
                <m:t>(</m:t>
              </m:r>
              <m:r>
                <m:t>U</m:t>
              </m:r>
              <m:r>
                <m:rPr>
                  <m:sty m:val="p"/>
                </m:rPr>
                <m:t>∧</m:t>
              </m:r>
              <m:r>
                <m:t>T</m:t>
              </m:r>
              <m:r>
                <m:rPr>
                  <m:sty m:val="p"/>
                </m:rPr>
                <m:t>∧</m:t>
              </m:r>
              <m:r>
                <m:t>S</m:t>
              </m:r>
              <m:r>
                <m:rPr>
                  <m:sty m:val="p"/>
                </m:rPr>
                <m:t>)</m:t>
              </m:r>
              <m:r>
                <m:rPr>
                  <m:sty m:val="p"/>
                </m:rPr>
                <m:t>)</m:t>
              </m:r>
            </m:e>
          </m:borderBox>
        </m:oMath>
      </m:oMathPara>
    </w:p>
    <w:p>
      <w:pPr>
        <w:pStyle w:val="FirstParagraph"/>
      </w:pPr>
      <w:r>
        <w:rPr>
          <w:b/>
          <w:bCs/>
        </w:rPr>
        <w:t xml:space="preserve">Reading:</w:t>
      </w:r>
      <w:r>
        <w:t xml:space="preserve"> </w:t>
      </w:r>
      <w:r>
        <w:t xml:space="preserve">The Trinity holds under both observer conceptions.</w:t>
      </w:r>
    </w:p>
    <w:p>
      <w:pPr>
        <w:pStyle w:val="BodyText"/>
      </w:pPr>
      <w:r>
        <w:rPr>
          <w:b/>
          <w:bCs/>
        </w:rPr>
        <w:t xml:space="preserve">Metaphysical meaning:</w:t>
      </w:r>
      <w:r>
        <w:t xml:space="preserve"> </w:t>
      </w:r>
      <w:r>
        <w:t xml:space="preserve">The Trinity is</w:t>
      </w:r>
      <w:r>
        <w:t xml:space="preserve"> </w:t>
      </w:r>
      <w:r>
        <w:rPr>
          <w:b/>
          <w:bCs/>
        </w:rPr>
        <w:t xml:space="preserve">not bound to a particular observer conception</w:t>
      </w:r>
      <w:r>
        <w:t xml:space="preserve">.</w:t>
      </w:r>
    </w:p>
    <w:bookmarkEnd w:id="18"/>
    <w:bookmarkEnd w:id="19"/>
    <w:bookmarkStart w:id="24" w:name="X31f27998313e3a6bd8e27e2c69cb4d2141a4be9"/>
    <w:p>
      <w:pPr>
        <w:pStyle w:val="Heading1"/>
      </w:pPr>
      <w:r>
        <w:t xml:space="preserve">Proof: Both Observer Conceptions Lead to the Trinity</w:t>
      </w:r>
    </w:p>
    <w:bookmarkStart w:id="20" w:name="the-main-theorem"/>
    <w:p>
      <w:pPr>
        <w:pStyle w:val="Heading2"/>
      </w:pPr>
      <w:r>
        <w:t xml:space="preserve">The Main Theorem</w:t>
      </w:r>
    </w:p>
    <w:p>
      <w:pPr>
        <w:pStyle w:val="FirstParagraph"/>
      </w:pPr>
      <w:r>
        <w:rPr>
          <w:b/>
          <w:bCs/>
        </w:rPr>
        <w:t xml:space="preserve">Theorem B-A:</w:t>
      </w:r>
      <w:r>
        <w:t xml:space="preserve"> </w:t>
      </w:r>
      <w:r>
        <w:t xml:space="preserve">In S5+SP+B1–B4:</w:t>
      </w:r>
    </w:p>
    <w:p>
      <w:pPr>
        <w:pStyle w:val="BodyText"/>
      </w:pPr>
      <m:oMathPara>
        <m:oMathParaPr>
          <m:jc m:val="center"/>
        </m:oMathParaPr>
        <m:oMath>
          <m:r>
            <m:rPr>
              <m:sty m:val="p"/>
            </m:rPr>
            <m:t>□</m:t>
          </m:r>
          <m:r>
            <m:rPr>
              <m:sty m:val="p"/>
            </m:rPr>
            <m:t>(</m:t>
          </m:r>
          <m:r>
            <m:t>U</m:t>
          </m:r>
          <m:r>
            <m:rPr>
              <m:sty m:val="p"/>
            </m:rPr>
            <m:t>∧</m:t>
          </m:r>
          <m:r>
            <m:t>T</m:t>
          </m:r>
          <m:r>
            <m:rPr>
              <m:sty m:val="p"/>
            </m:rPr>
            <m:t>∧</m:t>
          </m:r>
          <m:r>
            <m:t>S</m:t>
          </m:r>
          <m:r>
            <m:rPr>
              <m:sty m:val="p"/>
            </m:rPr>
            <m:t>)</m:t>
          </m:r>
        </m:oMath>
      </m:oMathPara>
    </w:p>
    <w:bookmarkEnd w:id="20"/>
    <w:bookmarkStart w:id="21" w:name="the-proof"/>
    <w:p>
      <w:pPr>
        <w:pStyle w:val="Heading2"/>
      </w:pPr>
      <w:r>
        <w:t xml:space="preserve">The Proof</w:t>
      </w:r>
    </w:p>
    <w:p>
      <w:pPr>
        <w:pStyle w:val="FirstParagraph"/>
      </w:pPr>
      <w:r>
        <w:rPr>
          <w:b/>
          <w:bCs/>
        </w:rPr>
        <w:t xml:space="preserve">Step 1:</w:t>
      </w:r>
      <w:r>
        <w:t xml:space="preserve"> </w:t>
      </w:r>
      <w:r>
        <w:t xml:space="preserve">From</w:t>
      </w:r>
      <w:r>
        <w:t xml:space="preserve"> </w:t>
      </w:r>
      <w:r>
        <w:rPr>
          <w:rStyle w:val="VerbatimChar"/>
        </w:rPr>
        <w:t xml:space="preserve">modal5.md</w:t>
      </w:r>
      <w:r>
        <w:t xml:space="preserve">: In S5+SP,</w:t>
      </w:r>
      <w:r>
        <w:t xml:space="preserve"> </w:t>
      </w:r>
      <m:oMath>
        <m:r>
          <m:rPr>
            <m:sty m:val="p"/>
          </m:rPr>
          <m:t>□</m:t>
        </m:r>
        <m:r>
          <m:rPr>
            <m:sty m:val="p"/>
          </m:rPr>
          <m:t>(</m:t>
        </m:r>
        <m:r>
          <m:t>U</m:t>
        </m:r>
        <m:r>
          <m:rPr>
            <m:sty m:val="p"/>
          </m:rPr>
          <m:t>∧</m:t>
        </m:r>
        <m:r>
          <m:t>T</m:t>
        </m:r>
        <m:r>
          <m:rPr>
            <m:sty m:val="p"/>
          </m:rPr>
          <m:t>∧</m:t>
        </m:r>
        <m:r>
          <m:t>S</m:t>
        </m:r>
        <m:r>
          <m:rPr>
            <m:sty m:val="p"/>
          </m:rPr>
          <m:t>)</m:t>
        </m:r>
      </m:oMath>
      <w:r>
        <w:t xml:space="preserve">.</w:t>
      </w:r>
    </w:p>
    <w:p>
      <w:pPr>
        <w:pStyle w:val="BodyText"/>
      </w:pPr>
      <w:r>
        <w:rPr>
          <w:b/>
          <w:bCs/>
        </w:rPr>
        <w:t xml:space="preserve">Step 2:</w:t>
      </w:r>
      <w:r>
        <w:t xml:space="preserve"> </w:t>
      </w:r>
      <w:r>
        <w:t xml:space="preserve">From B4:</w:t>
      </w:r>
      <w:r>
        <w:t xml:space="preserve"> </w:t>
      </w:r>
      <m:oMath>
        <m:sSub>
          <m:e>
            <m:r>
              <m:rPr>
                <m:scr m:val="script"/>
                <m:sty m:val="p"/>
              </m:rPr>
              <m:t>B</m:t>
            </m:r>
          </m:e>
          <m:sub>
            <m:r>
              <m:t>D</m:t>
            </m:r>
          </m:sub>
        </m:sSub>
        <m:r>
          <m:rPr>
            <m:sty m:val="p"/>
          </m:rPr>
          <m:t>(</m:t>
        </m:r>
        <m:r>
          <m:t>U</m:t>
        </m:r>
        <m:r>
          <m:rPr>
            <m:sty m:val="p"/>
          </m:rPr>
          <m:t>∧</m:t>
        </m:r>
        <m:r>
          <m:t>T</m:t>
        </m:r>
        <m:r>
          <m:rPr>
            <m:sty m:val="p"/>
          </m:rPr>
          <m:t>∧</m:t>
        </m:r>
        <m:r>
          <m:t>S</m:t>
        </m:r>
        <m:r>
          <m:rPr>
            <m:sty m:val="p"/>
          </m:rPr>
          <m:t>)</m:t>
        </m:r>
        <m:r>
          <m:rPr>
            <m:sty m:val="p"/>
          </m:rPr>
          <m:t>∧</m:t>
        </m:r>
        <m:sSub>
          <m:e>
            <m:r>
              <m:rPr>
                <m:scr m:val="script"/>
                <m:sty m:val="p"/>
              </m:rPr>
              <m:t>B</m:t>
            </m:r>
          </m:e>
          <m:sub>
            <m:r>
              <m:t>V</m:t>
            </m:r>
          </m:sub>
        </m:sSub>
        <m:r>
          <m:rPr>
            <m:sty m:val="p"/>
          </m:rPr>
          <m:t>(</m:t>
        </m:r>
        <m:r>
          <m:t>U</m:t>
        </m:r>
        <m:r>
          <m:rPr>
            <m:sty m:val="p"/>
          </m:rPr>
          <m:t>∧</m:t>
        </m:r>
        <m:r>
          <m:t>T</m:t>
        </m:r>
        <m:r>
          <m:rPr>
            <m:sty m:val="p"/>
          </m:rPr>
          <m:t>∧</m:t>
        </m:r>
        <m:r>
          <m:t>S</m:t>
        </m:r>
        <m:r>
          <m:rPr>
            <m:sty m:val="p"/>
          </m:rPr>
          <m:t>)</m:t>
        </m:r>
      </m:oMath>
      <w:r>
        <w:t xml:space="preserve">.</w:t>
      </w:r>
    </w:p>
    <w:p>
      <w:pPr>
        <w:pStyle w:val="BodyText"/>
      </w:pPr>
      <w:r>
        <w:rPr>
          <w:b/>
          <w:bCs/>
        </w:rPr>
        <w:t xml:space="preserve">Step 3:</w:t>
      </w:r>
      <w:r>
        <w:t xml:space="preserve"> </w:t>
      </w:r>
      <w:r>
        <w:t xml:space="preserve">From B1:</w:t>
      </w:r>
      <w:r>
        <w:t xml:space="preserve"> </w:t>
      </w:r>
      <m:oMath>
        <m:sSub>
          <m:e>
            <m:r>
              <m:rPr>
                <m:scr m:val="script"/>
                <m:sty m:val="p"/>
              </m:rPr>
              <m:t>B</m:t>
            </m:r>
          </m:e>
          <m:sub>
            <m:r>
              <m:t>D</m:t>
            </m:r>
          </m:sub>
        </m:sSub>
        <m:r>
          <m:rPr>
            <m:sty m:val="p"/>
          </m:rPr>
          <m:t>(</m:t>
        </m:r>
        <m:r>
          <m:t>U</m:t>
        </m:r>
        <m:r>
          <m:rPr>
            <m:sty m:val="p"/>
          </m:rPr>
          <m:t>∧</m:t>
        </m:r>
        <m:r>
          <m:t>T</m:t>
        </m:r>
        <m:r>
          <m:rPr>
            <m:sty m:val="p"/>
          </m:rPr>
          <m:t>∧</m:t>
        </m:r>
        <m:r>
          <m:t>S</m:t>
        </m:r>
        <m:r>
          <m:rPr>
            <m:sty m:val="p"/>
          </m:rPr>
          <m:t>)</m:t>
        </m:r>
        <m:r>
          <m:rPr>
            <m:sty m:val="p"/>
          </m:rPr>
          <m:t>→</m:t>
        </m:r>
        <m:r>
          <m:t>U</m:t>
        </m:r>
        <m:r>
          <m:rPr>
            <m:sty m:val="p"/>
          </m:rPr>
          <m:t>∧</m:t>
        </m:r>
        <m:r>
          <m:t>T</m:t>
        </m:r>
        <m:r>
          <m:rPr>
            <m:sty m:val="p"/>
          </m:rPr>
          <m:t>∧</m:t>
        </m:r>
        <m:r>
          <m:t>S</m:t>
        </m:r>
      </m:oMath>
      <w:r>
        <w:t xml:space="preserve">.</w:t>
      </w:r>
    </w:p>
    <w:p>
      <w:pPr>
        <w:pStyle w:val="BodyText"/>
      </w:pPr>
      <w:r>
        <w:rPr>
          <w:b/>
          <w:bCs/>
        </w:rPr>
        <w:t xml:space="preserve">Step 4:</w:t>
      </w:r>
      <w:r>
        <w:t xml:space="preserve"> </w:t>
      </w:r>
      <w:r>
        <w:t xml:space="preserve">From B2:</w:t>
      </w:r>
      <w:r>
        <w:t xml:space="preserve"> </w:t>
      </w:r>
      <m:oMath>
        <m:sSub>
          <m:e>
            <m:r>
              <m:rPr>
                <m:scr m:val="script"/>
                <m:sty m:val="p"/>
              </m:rPr>
              <m:t>B</m:t>
            </m:r>
          </m:e>
          <m:sub>
            <m:r>
              <m:t>V</m:t>
            </m:r>
          </m:sub>
        </m:sSub>
        <m:r>
          <m:rPr>
            <m:sty m:val="p"/>
          </m:rPr>
          <m:t>(</m:t>
        </m:r>
        <m:r>
          <m:t>U</m:t>
        </m:r>
        <m:r>
          <m:rPr>
            <m:sty m:val="p"/>
          </m:rPr>
          <m:t>∧</m:t>
        </m:r>
        <m:r>
          <m:t>T</m:t>
        </m:r>
        <m:r>
          <m:rPr>
            <m:sty m:val="p"/>
          </m:rPr>
          <m:t>∧</m:t>
        </m:r>
        <m:r>
          <m:t>S</m:t>
        </m:r>
        <m:r>
          <m:rPr>
            <m:sty m:val="p"/>
          </m:rPr>
          <m:t>)</m:t>
        </m:r>
        <m:r>
          <m:rPr>
            <m:sty m:val="p"/>
          </m:rPr>
          <m:t>→</m:t>
        </m:r>
        <m:r>
          <m:t>U</m:t>
        </m:r>
        <m:r>
          <m:rPr>
            <m:sty m:val="p"/>
          </m:rPr>
          <m:t>∧</m:t>
        </m:r>
        <m:r>
          <m:t>T</m:t>
        </m:r>
        <m:r>
          <m:rPr>
            <m:sty m:val="p"/>
          </m:rPr>
          <m:t>∧</m:t>
        </m:r>
        <m:r>
          <m:t>S</m:t>
        </m:r>
      </m:oMath>
      <w:r>
        <w:t xml:space="preserve">.</w:t>
      </w:r>
    </w:p>
    <w:p>
      <w:pPr>
        <w:pStyle w:val="BodyText"/>
      </w:pPr>
      <w:r>
        <w:rPr>
          <w:b/>
          <w:bCs/>
        </w:rPr>
        <w:t xml:space="preserve">Step 5:</w:t>
      </w:r>
      <w:r>
        <w:t xml:space="preserve"> </w:t>
      </w:r>
      <w:r>
        <w:t xml:space="preserve">From B3:</w:t>
      </w:r>
      <w:r>
        <w:t xml:space="preserve"> </w:t>
      </w:r>
      <m:oMath>
        <m:sSub>
          <m:e>
            <m:r>
              <m:rPr>
                <m:scr m:val="script"/>
                <m:sty m:val="p"/>
              </m:rPr>
              <m:t>B</m:t>
            </m:r>
          </m:e>
          <m:sub>
            <m:r>
              <m:t>D</m:t>
            </m:r>
          </m:sub>
        </m:sSub>
        <m:r>
          <m:rPr>
            <m:sty m:val="p"/>
          </m:rPr>
          <m:t>(</m:t>
        </m:r>
        <m:r>
          <m:t>U</m:t>
        </m:r>
        <m:r>
          <m:rPr>
            <m:sty m:val="p"/>
          </m:rPr>
          <m:t>∧</m:t>
        </m:r>
        <m:r>
          <m:t>T</m:t>
        </m:r>
        <m:r>
          <m:rPr>
            <m:sty m:val="p"/>
          </m:rPr>
          <m:t>∧</m:t>
        </m:r>
        <m:r>
          <m:t>S</m:t>
        </m:r>
        <m:r>
          <m:rPr>
            <m:sty m:val="p"/>
          </m:rPr>
          <m:t>)</m:t>
        </m:r>
        <m:r>
          <m:rPr>
            <m:sty m:val="p"/>
          </m:rPr>
          <m:t>↔</m:t>
        </m:r>
        <m:sSub>
          <m:e>
            <m:r>
              <m:rPr>
                <m:scr m:val="script"/>
                <m:sty m:val="p"/>
              </m:rPr>
              <m:t>B</m:t>
            </m:r>
          </m:e>
          <m:sub>
            <m:r>
              <m:t>V</m:t>
            </m:r>
          </m:sub>
        </m:sSub>
        <m:r>
          <m:rPr>
            <m:sty m:val="p"/>
          </m:rPr>
          <m:t>(</m:t>
        </m:r>
        <m:r>
          <m:t>U</m:t>
        </m:r>
        <m:r>
          <m:rPr>
            <m:sty m:val="p"/>
          </m:rPr>
          <m:t>∧</m:t>
        </m:r>
        <m:r>
          <m:t>T</m:t>
        </m:r>
        <m:r>
          <m:rPr>
            <m:sty m:val="p"/>
          </m:rPr>
          <m:t>∧</m:t>
        </m:r>
        <m:r>
          <m:t>S</m:t>
        </m:r>
        <m:r>
          <m:rPr>
            <m:sty m:val="p"/>
          </m:rPr>
          <m:t>)</m:t>
        </m:r>
      </m:oMath>
      <w:r>
        <w:t xml:space="preserve">.</w:t>
      </w:r>
    </w:p>
    <w:p>
      <w:pPr>
        <w:pStyle w:val="BodyText"/>
      </w:pPr>
      <w:r>
        <w:rPr>
          <w:b/>
          <w:bCs/>
        </w:rPr>
        <w:t xml:space="preserve">Step 6:</w:t>
      </w:r>
      <w:r>
        <w:t xml:space="preserve"> </w:t>
      </w:r>
      <w:r>
        <w:t xml:space="preserve">From Step 2 and Step 5: Both observer conceptions lead to the Trinity.</w:t>
      </w:r>
    </w:p>
    <w:p>
      <w:pPr>
        <w:pStyle w:val="BodyText"/>
      </w:pPr>
      <w:r>
        <w:rPr>
          <w:b/>
          <w:bCs/>
        </w:rPr>
        <w:t xml:space="preserve">Step 7:</w:t>
      </w:r>
      <w:r>
        <w:t xml:space="preserve"> </w:t>
      </w:r>
      <w:r>
        <w:t xml:space="preserve">Since the Trinity holds in all worlds (from</w:t>
      </w:r>
      <w:r>
        <w:t xml:space="preserve"> </w:t>
      </w:r>
      <w:r>
        <w:rPr>
          <w:rStyle w:val="VerbatimChar"/>
        </w:rPr>
        <w:t xml:space="preserve">modal5.md</w:t>
      </w:r>
      <w:r>
        <w:t xml:space="preserve">), it also holds under both observer conceptions. Hence:</w:t>
      </w:r>
      <w:r>
        <w:t xml:space="preserve"> </w:t>
      </w:r>
      <m:oMath>
        <m:r>
          <m:rPr>
            <m:sty m:val="p"/>
          </m:rPr>
          <m:t>□</m:t>
        </m:r>
        <m:r>
          <m:rPr>
            <m:sty m:val="p"/>
          </m:rPr>
          <m:t>(</m:t>
        </m:r>
        <m:r>
          <m:t>U</m:t>
        </m:r>
        <m:r>
          <m:rPr>
            <m:sty m:val="p"/>
          </m:rPr>
          <m:t>∧</m:t>
        </m:r>
        <m:r>
          <m:t>T</m:t>
        </m:r>
        <m:r>
          <m:rPr>
            <m:sty m:val="p"/>
          </m:rPr>
          <m:t>∧</m:t>
        </m:r>
        <m:r>
          <m:t>S</m:t>
        </m:r>
        <m:r>
          <m:rPr>
            <m:sty m:val="p"/>
          </m:rPr>
          <m:t>)</m:t>
        </m:r>
      </m:oMath>
      <w:r>
        <w:t xml:space="preserve">.</w:t>
      </w:r>
    </w:p>
    <w:p>
      <w:pPr>
        <w:pStyle w:val="BodyText"/>
      </w:pPr>
      <w:r>
        <w:t xml:space="preserve">q.e.d.</w:t>
      </w:r>
    </w:p>
    <w:bookmarkEnd w:id="21"/>
    <w:bookmarkStart w:id="22" w:name="what-the-proof-shows"/>
    <w:p>
      <w:pPr>
        <w:pStyle w:val="Heading2"/>
      </w:pPr>
      <w:r>
        <w:t xml:space="preserve">What the Proof Shows</w:t>
      </w:r>
    </w:p>
    <w:p>
      <w:pPr>
        <w:pStyle w:val="FirstParagraph"/>
      </w:pPr>
      <w:r>
        <w:t xml:space="preserve">The proof shows:</w:t>
      </w:r>
    </w:p>
    <w:p>
      <w:pPr>
        <w:pStyle w:val="Compact"/>
        <w:numPr>
          <w:ilvl w:val="0"/>
          <w:numId w:val="1003"/>
        </w:numPr>
      </w:pPr>
      <w:r>
        <w:t xml:space="preserve">The Trinity follows</w:t>
      </w:r>
      <w:r>
        <w:t xml:space="preserve"> </w:t>
      </w:r>
      <w:r>
        <w:rPr>
          <w:b/>
          <w:bCs/>
        </w:rPr>
        <w:t xml:space="preserve">both</w:t>
      </w:r>
      <w:r>
        <w:t xml:space="preserve"> </w:t>
      </w:r>
      <w:r>
        <w:t xml:space="preserve">from the constitutive</w:t>
      </w:r>
      <w:r>
        <w:t xml:space="preserve"> </w:t>
      </w:r>
      <w:r>
        <w:rPr>
          <w:b/>
          <w:bCs/>
        </w:rPr>
        <w:t xml:space="preserve">and</w:t>
      </w:r>
      <w:r>
        <w:t xml:space="preserve"> </w:t>
      </w:r>
      <w:r>
        <w:t xml:space="preserve">from the structural observer conception.</w:t>
      </w:r>
    </w:p>
    <w:p>
      <w:pPr>
        <w:pStyle w:val="Compact"/>
        <w:numPr>
          <w:ilvl w:val="0"/>
          <w:numId w:val="1003"/>
        </w:numPr>
      </w:pPr>
      <w:r>
        <w:t xml:space="preserve">The two conceptions are</w:t>
      </w:r>
      <w:r>
        <w:t xml:space="preserve"> </w:t>
      </w:r>
      <w:r>
        <w:rPr>
          <w:b/>
          <w:bCs/>
        </w:rPr>
        <w:t xml:space="preserve">equivalent</w:t>
      </w:r>
      <w:r>
        <w:t xml:space="preserve"> </w:t>
      </w:r>
      <w:r>
        <w:t xml:space="preserve">(B3).</w:t>
      </w:r>
    </w:p>
    <w:p>
      <w:pPr>
        <w:pStyle w:val="Compact"/>
        <w:numPr>
          <w:ilvl w:val="0"/>
          <w:numId w:val="1003"/>
        </w:numPr>
      </w:pPr>
      <w:r>
        <w:t xml:space="preserve">The Trinity is</w:t>
      </w:r>
      <w:r>
        <w:t xml:space="preserve"> </w:t>
      </w:r>
      <w:r>
        <w:rPr>
          <w:b/>
          <w:bCs/>
        </w:rPr>
        <w:t xml:space="preserve">observer-conception-invariant</w:t>
      </w:r>
      <w:r>
        <w:t xml:space="preserve">.</w:t>
      </w:r>
    </w:p>
    <w:bookmarkEnd w:id="22"/>
    <w:bookmarkStart w:id="23" w:name="what-the-proof-does-not-show"/>
    <w:p>
      <w:pPr>
        <w:pStyle w:val="Heading2"/>
      </w:pPr>
      <w:r>
        <w:t xml:space="preserve">What the Proof Does Not Show</w:t>
      </w:r>
    </w:p>
    <w:p>
      <w:pPr>
        <w:pStyle w:val="FirstParagraph"/>
      </w:pPr>
      <w:r>
        <w:t xml:space="preserve">The proof does</w:t>
      </w:r>
      <w:r>
        <w:t xml:space="preserve"> </w:t>
      </w:r>
      <w:r>
        <w:rPr>
          <w:b/>
          <w:bCs/>
        </w:rPr>
        <w:t xml:space="preserve">not</w:t>
      </w:r>
      <w:r>
        <w:t xml:space="preserve"> </w:t>
      </w:r>
      <w:r>
        <w:t xml:space="preserve">show:</w:t>
      </w:r>
    </w:p>
    <w:p>
      <w:pPr>
        <w:pStyle w:val="Compact"/>
        <w:numPr>
          <w:ilvl w:val="0"/>
          <w:numId w:val="1004"/>
        </w:numPr>
      </w:pPr>
      <w:r>
        <w:t xml:space="preserve">That the two conceptions are</w:t>
      </w:r>
      <w:r>
        <w:t xml:space="preserve"> </w:t>
      </w:r>
      <w:r>
        <w:rPr>
          <w:b/>
          <w:bCs/>
        </w:rPr>
        <w:t xml:space="preserve">identical</w:t>
      </w:r>
      <w:r>
        <w:t xml:space="preserve">.</w:t>
      </w:r>
    </w:p>
    <w:p>
      <w:pPr>
        <w:pStyle w:val="Compact"/>
        <w:numPr>
          <w:ilvl w:val="0"/>
          <w:numId w:val="1004"/>
        </w:numPr>
      </w:pPr>
      <w:r>
        <w:t xml:space="preserve">That one of the two conceptions is</w:t>
      </w:r>
      <w:r>
        <w:t xml:space="preserve"> </w:t>
      </w:r>
      <w:r>
        <w:rPr>
          <w:b/>
          <w:bCs/>
        </w:rPr>
        <w:t xml:space="preserve">false</w:t>
      </w:r>
      <w:r>
        <w:t xml:space="preserve">.</w:t>
      </w:r>
    </w:p>
    <w:p>
      <w:pPr>
        <w:pStyle w:val="Compact"/>
        <w:numPr>
          <w:ilvl w:val="0"/>
          <w:numId w:val="1004"/>
        </w:numPr>
      </w:pPr>
      <w:r>
        <w:t xml:space="preserve">That the choice of conception is</w:t>
      </w:r>
      <w:r>
        <w:t xml:space="preserve"> </w:t>
      </w:r>
      <w:r>
        <w:rPr>
          <w:b/>
          <w:bCs/>
        </w:rPr>
        <w:t xml:space="preserve">irrelevant</w:t>
      </w:r>
      <w:r>
        <w:t xml:space="preserve">.</w:t>
      </w:r>
    </w:p>
    <w:p>
      <w:pPr>
        <w:pStyle w:val="FirstParagraph"/>
      </w:pPr>
      <w:r>
        <w:t xml:space="preserve">The proof only shows: Both conceptions lead to the same structure.</w:t>
      </w:r>
    </w:p>
    <w:bookmarkEnd w:id="23"/>
    <w:bookmarkEnd w:id="24"/>
    <w:bookmarkStart w:id="29" w:name="comparison-with-everett-bohr-rovelli"/>
    <w:p>
      <w:pPr>
        <w:pStyle w:val="Heading1"/>
      </w:pPr>
      <w:r>
        <w:t xml:space="preserve">Comparison with Everett, Bohr, Rovelli</w:t>
      </w:r>
    </w:p>
    <w:bookmarkStart w:id="25" w:name="everett-mwi"/>
    <w:p>
      <w:pPr>
        <w:pStyle w:val="Heading2"/>
      </w:pPr>
      <w:r>
        <w:t xml:space="preserve">Everett (MWI)</w:t>
      </w:r>
    </w:p>
    <w:p>
      <w:pPr>
        <w:pStyle w:val="FirstParagraph"/>
      </w:pPr>
      <w:r>
        <w:rPr>
          <w:b/>
          <w:bCs/>
        </w:rPr>
        <w:t xml:space="preserve">Everett</w:t>
      </w:r>
      <w:r>
        <w:t xml:space="preserve"> </w:t>
      </w:r>
      <w:r>
        <w:t xml:space="preserve">(1957) formulated the Many-Worlds Interpretation. In this interpretation:</w:t>
      </w:r>
    </w:p>
    <w:p>
      <w:pPr>
        <w:pStyle w:val="Compact"/>
        <w:numPr>
          <w:ilvl w:val="0"/>
          <w:numId w:val="1005"/>
        </w:numPr>
      </w:pPr>
      <w:r>
        <w:t xml:space="preserve">The wave function does</w:t>
      </w:r>
      <w:r>
        <w:t xml:space="preserve"> </w:t>
      </w:r>
      <w:r>
        <w:rPr>
          <w:b/>
          <w:bCs/>
        </w:rPr>
        <w:t xml:space="preserve">not</w:t>
      </w:r>
      <w:r>
        <w:t xml:space="preserve"> </w:t>
      </w:r>
      <w:r>
        <w:t xml:space="preserve">collapse.</w:t>
      </w:r>
    </w:p>
    <w:p>
      <w:pPr>
        <w:pStyle w:val="Compact"/>
        <w:numPr>
          <w:ilvl w:val="0"/>
          <w:numId w:val="1005"/>
        </w:numPr>
      </w:pPr>
      <w:r>
        <w:t xml:space="preserve">All possibilities are</w:t>
      </w:r>
      <w:r>
        <w:t xml:space="preserve"> </w:t>
      </w:r>
      <w:r>
        <w:rPr>
          <w:b/>
          <w:bCs/>
        </w:rPr>
        <w:t xml:space="preserve">real</w:t>
      </w:r>
      <w:r>
        <w:t xml:space="preserve">.</w:t>
      </w:r>
    </w:p>
    <w:p>
      <w:pPr>
        <w:pStyle w:val="Compact"/>
        <w:numPr>
          <w:ilvl w:val="0"/>
          <w:numId w:val="1005"/>
        </w:numPr>
      </w:pPr>
      <w:r>
        <w:t xml:space="preserve">The observer is</w:t>
      </w:r>
      <w:r>
        <w:t xml:space="preserve"> </w:t>
      </w:r>
      <w:r>
        <w:rPr>
          <w:b/>
          <w:bCs/>
        </w:rPr>
        <w:t xml:space="preserve">himself part</w:t>
      </w:r>
      <w:r>
        <w:t xml:space="preserve"> </w:t>
      </w:r>
      <w:r>
        <w:t xml:space="preserve">of the branching.</w:t>
      </w:r>
    </w:p>
    <w:p>
      <w:pPr>
        <w:pStyle w:val="FirstParagraph"/>
      </w:pPr>
      <w:r>
        <w:rPr>
          <w:b/>
          <w:bCs/>
        </w:rPr>
        <w:t xml:space="preserve">Comparison with our</w:t>
      </w:r>
      <w:r>
        <w:rPr>
          <w:b/>
          <w:bCs/>
        </w:rPr>
        <w:t xml:space="preserve"> </w:t>
      </w:r>
      <m:oMath>
        <m:sSub>
          <m:e>
            <m:r>
              <m:rPr>
                <m:scr m:val="script"/>
                <m:sty m:val="p"/>
              </m:rPr>
              <m:t>B</m:t>
            </m:r>
          </m:e>
          <m:sub>
            <m:r>
              <m:t>V</m:t>
            </m:r>
          </m:sub>
        </m:sSub>
      </m:oMath>
      <w:r>
        <w:rPr>
          <w:b/>
          <w:bCs/>
        </w:rPr>
        <w:t xml:space="preserve">:</w:t>
      </w:r>
      <w:r>
        <w:t xml:space="preserve"> </w:t>
      </w:r>
      <w:r>
        <w:t xml:space="preserve">The Van Dormael observer corresponds to the Everettian observer. He is non-constitutive, but</w:t>
      </w:r>
      <w:r>
        <w:t xml:space="preserve"> </w:t>
      </w:r>
      <w:r>
        <w:rPr>
          <w:b/>
          <w:bCs/>
        </w:rPr>
        <w:t xml:space="preserve">structural</w:t>
      </w:r>
      <w:r>
        <w:t xml:space="preserve">.</w:t>
      </w:r>
    </w:p>
    <w:bookmarkEnd w:id="25"/>
    <w:bookmarkStart w:id="26" w:name="bohr-copenhagen"/>
    <w:p>
      <w:pPr>
        <w:pStyle w:val="Heading2"/>
      </w:pPr>
      <w:r>
        <w:t xml:space="preserve">Bohr (Copenhagen)</w:t>
      </w:r>
    </w:p>
    <w:p>
      <w:pPr>
        <w:pStyle w:val="FirstParagraph"/>
      </w:pPr>
      <w:r>
        <w:rPr>
          <w:b/>
          <w:bCs/>
        </w:rPr>
        <w:t xml:space="preserve">Bohr</w:t>
      </w:r>
      <w:r>
        <w:t xml:space="preserve"> </w:t>
      </w:r>
      <w:r>
        <w:t xml:space="preserve">(1928) formulated the Copenhagen interpretation. In this interpretation:</w:t>
      </w:r>
    </w:p>
    <w:p>
      <w:pPr>
        <w:pStyle w:val="Compact"/>
        <w:numPr>
          <w:ilvl w:val="0"/>
          <w:numId w:val="1006"/>
        </w:numPr>
      </w:pPr>
      <w:r>
        <w:t xml:space="preserve">The wave function</w:t>
      </w:r>
      <w:r>
        <w:t xml:space="preserve"> </w:t>
      </w:r>
      <w:r>
        <w:rPr>
          <w:b/>
          <w:bCs/>
        </w:rPr>
        <w:t xml:space="preserve">collapses</w:t>
      </w:r>
      <w:r>
        <w:t xml:space="preserve"> </w:t>
      </w:r>
      <w:r>
        <w:t xml:space="preserve">upon measurement.</w:t>
      </w:r>
    </w:p>
    <w:p>
      <w:pPr>
        <w:pStyle w:val="Compact"/>
        <w:numPr>
          <w:ilvl w:val="0"/>
          <w:numId w:val="1006"/>
        </w:numPr>
      </w:pPr>
      <w:r>
        <w:t xml:space="preserve">The observer is</w:t>
      </w:r>
      <w:r>
        <w:t xml:space="preserve"> </w:t>
      </w:r>
      <w:r>
        <w:rPr>
          <w:b/>
          <w:bCs/>
        </w:rPr>
        <w:t xml:space="preserve">constitutive</w:t>
      </w:r>
      <w:r>
        <w:t xml:space="preserve"> </w:t>
      </w:r>
      <w:r>
        <w:t xml:space="preserve">for the measurement.</w:t>
      </w:r>
    </w:p>
    <w:p>
      <w:pPr>
        <w:pStyle w:val="Compact"/>
        <w:numPr>
          <w:ilvl w:val="0"/>
          <w:numId w:val="1006"/>
        </w:numPr>
      </w:pPr>
      <w:r>
        <w:t xml:space="preserve">The classical world is</w:t>
      </w:r>
      <w:r>
        <w:t xml:space="preserve"> </w:t>
      </w:r>
      <w:r>
        <w:rPr>
          <w:b/>
          <w:bCs/>
        </w:rPr>
        <w:t xml:space="preserve">necessary</w:t>
      </w:r>
      <w:r>
        <w:t xml:space="preserve"> </w:t>
      </w:r>
      <w:r>
        <w:t xml:space="preserve">for the description.</w:t>
      </w:r>
    </w:p>
    <w:p>
      <w:pPr>
        <w:pStyle w:val="FirstParagraph"/>
      </w:pPr>
      <w:r>
        <w:rPr>
          <w:b/>
          <w:bCs/>
        </w:rPr>
        <w:t xml:space="preserve">Comparison with our</w:t>
      </w:r>
      <w:r>
        <w:rPr>
          <w:b/>
          <w:bCs/>
        </w:rPr>
        <w:t xml:space="preserve"> </w:t>
      </w:r>
      <m:oMath>
        <m:sSub>
          <m:e>
            <m:r>
              <m:rPr>
                <m:scr m:val="script"/>
                <m:sty m:val="p"/>
              </m:rPr>
              <m:t>B</m:t>
            </m:r>
          </m:e>
          <m:sub>
            <m:r>
              <m:t>D</m:t>
            </m:r>
          </m:sub>
        </m:sSub>
      </m:oMath>
      <w:r>
        <w:rPr>
          <w:b/>
          <w:bCs/>
        </w:rPr>
        <w:t xml:space="preserve">:</w:t>
      </w:r>
      <w:r>
        <w:t xml:space="preserve"> </w:t>
      </w:r>
      <w:r>
        <w:t xml:space="preserve">The DeLillo observer corresponds to the Bohrian observer. He is constitutive for reality.</w:t>
      </w:r>
    </w:p>
    <w:bookmarkEnd w:id="26"/>
    <w:bookmarkStart w:id="27" w:name="rovelli-relational-qm"/>
    <w:p>
      <w:pPr>
        <w:pStyle w:val="Heading2"/>
      </w:pPr>
      <w:r>
        <w:t xml:space="preserve">Rovelli (Relational QM)</w:t>
      </w:r>
    </w:p>
    <w:p>
      <w:pPr>
        <w:pStyle w:val="FirstParagraph"/>
      </w:pPr>
      <w:r>
        <w:rPr>
          <w:b/>
          <w:bCs/>
        </w:rPr>
        <w:t xml:space="preserve">Rovelli</w:t>
      </w:r>
      <w:r>
        <w:t xml:space="preserve"> </w:t>
      </w:r>
      <w:r>
        <w:t xml:space="preserve">(1996) formulated relational quantum mechanics. In this interpretation:</w:t>
      </w:r>
    </w:p>
    <w:p>
      <w:pPr>
        <w:pStyle w:val="Compact"/>
        <w:numPr>
          <w:ilvl w:val="0"/>
          <w:numId w:val="1007"/>
        </w:numPr>
      </w:pPr>
      <w:r>
        <w:t xml:space="preserve">States are</w:t>
      </w:r>
      <w:r>
        <w:t xml:space="preserve"> </w:t>
      </w:r>
      <w:r>
        <w:rPr>
          <w:b/>
          <w:bCs/>
        </w:rPr>
        <w:t xml:space="preserve">relative</w:t>
      </w:r>
      <w:r>
        <w:t xml:space="preserve"> </w:t>
      </w:r>
      <w:r>
        <w:t xml:space="preserve">to an observer.</w:t>
      </w:r>
    </w:p>
    <w:p>
      <w:pPr>
        <w:pStyle w:val="Compact"/>
        <w:numPr>
          <w:ilvl w:val="0"/>
          <w:numId w:val="1007"/>
        </w:numPr>
      </w:pPr>
      <w:r>
        <w:t xml:space="preserve">There is no</w:t>
      </w:r>
      <w:r>
        <w:t xml:space="preserve"> </w:t>
      </w:r>
      <w:r>
        <w:rPr>
          <w:b/>
          <w:bCs/>
        </w:rPr>
        <w:t xml:space="preserve">absolute</w:t>
      </w:r>
      <w:r>
        <w:t xml:space="preserve"> </w:t>
      </w:r>
      <w:r>
        <w:t xml:space="preserve">state.</w:t>
      </w:r>
    </w:p>
    <w:p>
      <w:pPr>
        <w:pStyle w:val="Compact"/>
        <w:numPr>
          <w:ilvl w:val="0"/>
          <w:numId w:val="1007"/>
        </w:numPr>
      </w:pPr>
      <w:r>
        <w:t xml:space="preserve">The observer is</w:t>
      </w:r>
      <w:r>
        <w:t xml:space="preserve"> </w:t>
      </w:r>
      <w:r>
        <w:rPr>
          <w:b/>
          <w:bCs/>
        </w:rPr>
        <w:t xml:space="preserve">relationally</w:t>
      </w:r>
      <w:r>
        <w:t xml:space="preserve"> </w:t>
      </w:r>
      <w:r>
        <w:t xml:space="preserve">defined.</w:t>
      </w:r>
    </w:p>
    <w:p>
      <w:pPr>
        <w:pStyle w:val="FirstParagraph"/>
      </w:pPr>
      <w:r>
        <w:rPr>
          <w:b/>
          <w:bCs/>
        </w:rPr>
        <w:t xml:space="preserve">Comparison with our</w:t>
      </w:r>
      <w:r>
        <w:rPr>
          <w:b/>
          <w:bCs/>
        </w:rPr>
        <w:t xml:space="preserve"> </w:t>
      </w:r>
      <m:oMath>
        <m:sSub>
          <m:e>
            <m:r>
              <m:rPr>
                <m:scr m:val="script"/>
                <m:sty m:val="p"/>
              </m:rPr>
              <m:t>B</m:t>
            </m:r>
          </m:e>
          <m:sub>
            <m:r>
              <m:t>D</m:t>
            </m:r>
          </m:sub>
        </m:sSub>
      </m:oMath>
      <w:r>
        <w:rPr>
          <w:b/>
          <w:bCs/>
        </w:rPr>
        <w:t xml:space="preserve"> </w:t>
      </w:r>
      <w:r>
        <w:rPr>
          <w:b/>
          <w:bCs/>
        </w:rPr>
        <w:t xml:space="preserve">and</w:t>
      </w:r>
      <w:r>
        <w:rPr>
          <w:b/>
          <w:bCs/>
        </w:rPr>
        <w:t xml:space="preserve"> </w:t>
      </w:r>
      <m:oMath>
        <m:sSub>
          <m:e>
            <m:r>
              <m:rPr>
                <m:scr m:val="script"/>
                <m:sty m:val="p"/>
              </m:rPr>
              <m:t>B</m:t>
            </m:r>
          </m:e>
          <m:sub>
            <m:r>
              <m:t>V</m:t>
            </m:r>
          </m:sub>
        </m:sSub>
      </m:oMath>
      <w:r>
        <w:rPr>
          <w:b/>
          <w:bCs/>
        </w:rPr>
        <w:t xml:space="preserve">:</w:t>
      </w:r>
      <w:r>
        <w:t xml:space="preserve"> </w:t>
      </w:r>
      <w:r>
        <w:t xml:space="preserve">Rovelli’s observer is</w:t>
      </w:r>
      <w:r>
        <w:t xml:space="preserve"> </w:t>
      </w:r>
      <w:r>
        <w:rPr>
          <w:b/>
          <w:bCs/>
        </w:rPr>
        <w:t xml:space="preserve">neither</w:t>
      </w:r>
      <w:r>
        <w:t xml:space="preserve"> </w:t>
      </w:r>
      <w:r>
        <w:t xml:space="preserve">purely constitutive</w:t>
      </w:r>
      <w:r>
        <w:t xml:space="preserve"> </w:t>
      </w:r>
      <w:r>
        <w:rPr>
          <w:b/>
          <w:bCs/>
        </w:rPr>
        <w:t xml:space="preserve">nor</w:t>
      </w:r>
      <w:r>
        <w:t xml:space="preserve"> </w:t>
      </w:r>
      <w:r>
        <w:t xml:space="preserve">purely structural. He is</w:t>
      </w:r>
      <w:r>
        <w:t xml:space="preserve"> </w:t>
      </w:r>
      <w:r>
        <w:rPr>
          <w:b/>
          <w:bCs/>
        </w:rPr>
        <w:t xml:space="preserve">relational</w:t>
      </w:r>
      <w:r>
        <w:t xml:space="preserve">. This is a</w:t>
      </w:r>
      <w:r>
        <w:t xml:space="preserve"> </w:t>
      </w:r>
      <w:r>
        <w:rPr>
          <w:b/>
          <w:bCs/>
        </w:rPr>
        <w:t xml:space="preserve">third</w:t>
      </w:r>
      <w:r>
        <w:t xml:space="preserve"> </w:t>
      </w:r>
      <w:r>
        <w:t xml:space="preserve">position that</w:t>
      </w:r>
      <w:r>
        <w:t xml:space="preserve"> </w:t>
      </w:r>
      <w:r>
        <w:rPr>
          <w:b/>
          <w:bCs/>
        </w:rPr>
        <w:t xml:space="preserve">neither</w:t>
      </w:r>
      <w:r>
        <w:t xml:space="preserve"> </w:t>
      </w:r>
      <w:r>
        <w:t xml:space="preserve">subsumes</w:t>
      </w:r>
      <w:r>
        <w:t xml:space="preserve"> </w:t>
      </w:r>
      <w:r>
        <w:rPr>
          <w:b/>
          <w:bCs/>
        </w:rPr>
        <w:t xml:space="preserve">nor</w:t>
      </w:r>
      <w:r>
        <w:t xml:space="preserve"> </w:t>
      </w:r>
      <w:r>
        <w:t xml:space="preserve">excludes our two operators.</w:t>
      </w:r>
    </w:p>
    <w:bookmarkEnd w:id="27"/>
    <w:bookmarkStart w:id="28" w:name="the-point"/>
    <w:p>
      <w:pPr>
        <w:pStyle w:val="Heading2"/>
      </w:pPr>
      <w:r>
        <w:t xml:space="preserve">The Point</w:t>
      </w:r>
    </w:p>
    <w:p>
      <w:pPr>
        <w:pStyle w:val="FirstParagraph"/>
      </w:pPr>
      <w:r>
        <w:t xml:space="preserve">Our two operators</w:t>
      </w:r>
      <w:r>
        <w:t xml:space="preserve"> </w:t>
      </w:r>
      <m:oMath>
        <m:sSub>
          <m:e>
            <m:r>
              <m:rPr>
                <m:scr m:val="script"/>
                <m:sty m:val="p"/>
              </m:rPr>
              <m:t>B</m:t>
            </m:r>
          </m:e>
          <m:sub>
            <m:r>
              <m:t>D</m:t>
            </m:r>
          </m:sub>
        </m:sSub>
      </m:oMath>
      <w:r>
        <w:t xml:space="preserve"> </w:t>
      </w:r>
      <w:r>
        <w:t xml:space="preserve">and</w:t>
      </w:r>
      <w:r>
        <w:t xml:space="preserve"> </w:t>
      </w:r>
      <m:oMath>
        <m:sSub>
          <m:e>
            <m:r>
              <m:rPr>
                <m:scr m:val="script"/>
                <m:sty m:val="p"/>
              </m:rPr>
              <m:t>B</m:t>
            </m:r>
          </m:e>
          <m:sub>
            <m:r>
              <m:t>V</m:t>
            </m:r>
          </m:sub>
        </m:sSub>
      </m:oMath>
      <w:r>
        <w:t xml:space="preserve"> </w:t>
      </w:r>
      <w:r>
        <w:t xml:space="preserve">capture the two</w:t>
      </w:r>
      <w:r>
        <w:t xml:space="preserve"> </w:t>
      </w:r>
      <w:r>
        <w:rPr>
          <w:b/>
          <w:bCs/>
        </w:rPr>
        <w:t xml:space="preserve">classical</w:t>
      </w:r>
      <w:r>
        <w:t xml:space="preserve"> </w:t>
      </w:r>
      <w:r>
        <w:t xml:space="preserve">positions (Bohr and Everett). They do</w:t>
      </w:r>
      <w:r>
        <w:t xml:space="preserve"> </w:t>
      </w:r>
      <w:r>
        <w:rPr>
          <w:b/>
          <w:bCs/>
        </w:rPr>
        <w:t xml:space="preserve">not</w:t>
      </w:r>
      <w:r>
        <w:t xml:space="preserve"> </w:t>
      </w:r>
      <w:r>
        <w:t xml:space="preserve">capture the relational position (Rovelli). That is an open question.</w:t>
      </w:r>
    </w:p>
    <w:bookmarkEnd w:id="28"/>
    <w:bookmarkEnd w:id="29"/>
    <w:bookmarkStart w:id="33" w:name="Xb021318417e8366f718b17c010780828aeeeccc"/>
    <w:p>
      <w:pPr>
        <w:pStyle w:val="Heading1"/>
      </w:pPr>
      <w:r>
        <w:t xml:space="preserve">What Follows? The Trinity Is Observer-Conception-Invariant</w:t>
      </w:r>
    </w:p>
    <w:bookmarkStart w:id="30" w:name="the-central-insight"/>
    <w:p>
      <w:pPr>
        <w:pStyle w:val="Heading2"/>
      </w:pPr>
      <w:r>
        <w:t xml:space="preserve">The Central Insight</w:t>
      </w:r>
    </w:p>
    <w:p>
      <w:pPr>
        <w:pStyle w:val="FirstParagraph"/>
      </w:pPr>
      <w:r>
        <w:t xml:space="preserve">The necessity of the Trinity is</w:t>
      </w:r>
      <w:r>
        <w:t xml:space="preserve"> </w:t>
      </w:r>
      <w:r>
        <w:rPr>
          <w:b/>
          <w:bCs/>
        </w:rPr>
        <w:t xml:space="preserve">not bound to a particular observer conception</w:t>
      </w:r>
      <w:r>
        <w:t xml:space="preserve">. In S5+SP+</w:t>
      </w:r>
      <m:oMath>
        <m:sSub>
          <m:e>
            <m:r>
              <m:rPr>
                <m:scr m:val="script"/>
                <m:sty m:val="p"/>
              </m:rPr>
              <m:t>B</m:t>
            </m:r>
          </m:e>
          <m:sub>
            <m:r>
              <m:t>D</m:t>
            </m:r>
          </m:sub>
        </m:sSub>
      </m:oMath>
      <w:r>
        <w:t xml:space="preserve">, it is necessary for constitutive reasons. In S5+SP+</w:t>
      </w:r>
      <m:oMath>
        <m:sSub>
          <m:e>
            <m:r>
              <m:rPr>
                <m:scr m:val="script"/>
                <m:sty m:val="p"/>
              </m:rPr>
              <m:t>B</m:t>
            </m:r>
          </m:e>
          <m:sub>
            <m:r>
              <m:t>V</m:t>
            </m:r>
          </m:sub>
        </m:sSub>
      </m:oMath>
      <w:r>
        <w:t xml:space="preserve">, it is necessary for structural reasons. Both perspectives lead to the</w:t>
      </w:r>
      <w:r>
        <w:t xml:space="preserve"> </w:t>
      </w:r>
      <w:r>
        <w:rPr>
          <w:b/>
          <w:bCs/>
        </w:rPr>
        <w:t xml:space="preserve">same</w:t>
      </w:r>
      <w:r>
        <w:t xml:space="preserve"> </w:t>
      </w:r>
      <w:r>
        <w:t xml:space="preserve">structure.</w:t>
      </w:r>
    </w:p>
    <w:p>
      <w:pPr>
        <w:pStyle w:val="BodyText"/>
      </w:pPr>
      <w:r>
        <w:rPr>
          <w:b/>
          <w:bCs/>
        </w:rPr>
        <w:t xml:space="preserve">Formal version:</w:t>
      </w:r>
    </w:p>
    <w:p>
      <w:pPr>
        <w:pStyle w:val="BodyText"/>
      </w:pPr>
      <m:oMathPara>
        <m:oMathParaPr>
          <m:jc m:val="center"/>
        </m:oMathParaPr>
        <m:oMath>
          <m:borderBox>
            <m:e>
              <m:r>
                <m:rPr>
                  <m:sty m:val="p"/>
                </m:rPr>
                <m:t>□</m:t>
              </m:r>
              <m:r>
                <m:rPr>
                  <m:sty m:val="p"/>
                </m:rPr>
                <m:t>(</m:t>
              </m:r>
              <m:sSub>
                <m:e>
                  <m:r>
                    <m:rPr>
                      <m:scr m:val="script"/>
                      <m:sty m:val="p"/>
                    </m:rPr>
                    <m:t>B</m:t>
                  </m:r>
                </m:e>
                <m:sub>
                  <m:r>
                    <m:t>D</m:t>
                  </m:r>
                </m:sub>
              </m:sSub>
              <m:r>
                <m:rPr>
                  <m:sty m:val="p"/>
                </m:rPr>
                <m:t>(</m:t>
              </m:r>
              <m:r>
                <m:t>U</m:t>
              </m:r>
              <m:r>
                <m:rPr>
                  <m:sty m:val="p"/>
                </m:rPr>
                <m:t>∧</m:t>
              </m:r>
              <m:r>
                <m:t>T</m:t>
              </m:r>
              <m:r>
                <m:rPr>
                  <m:sty m:val="p"/>
                </m:rPr>
                <m:t>∧</m:t>
              </m:r>
              <m:r>
                <m:t>S</m:t>
              </m:r>
              <m:r>
                <m:rPr>
                  <m:sty m:val="p"/>
                </m:rPr>
                <m:t>)</m:t>
              </m:r>
              <m:r>
                <m:rPr>
                  <m:sty m:val="p"/>
                </m:rPr>
                <m:t>∧</m:t>
              </m:r>
              <m:sSub>
                <m:e>
                  <m:r>
                    <m:rPr>
                      <m:scr m:val="script"/>
                      <m:sty m:val="p"/>
                    </m:rPr>
                    <m:t>B</m:t>
                  </m:r>
                </m:e>
                <m:sub>
                  <m:r>
                    <m:t>V</m:t>
                  </m:r>
                </m:sub>
              </m:sSub>
              <m:r>
                <m:rPr>
                  <m:sty m:val="p"/>
                </m:rPr>
                <m:t>(</m:t>
              </m:r>
              <m:r>
                <m:t>U</m:t>
              </m:r>
              <m:r>
                <m:rPr>
                  <m:sty m:val="p"/>
                </m:rPr>
                <m:t>∧</m:t>
              </m:r>
              <m:r>
                <m:t>T</m:t>
              </m:r>
              <m:r>
                <m:rPr>
                  <m:sty m:val="p"/>
                </m:rPr>
                <m:t>∧</m:t>
              </m:r>
              <m:r>
                <m:t>S</m:t>
              </m:r>
              <m:r>
                <m:rPr>
                  <m:sty m:val="p"/>
                </m:rPr>
                <m:t>)</m:t>
              </m:r>
              <m:r>
                <m:rPr>
                  <m:sty m:val="p"/>
                </m:rPr>
                <m:t>)</m:t>
              </m:r>
            </m:e>
          </m:borderBox>
        </m:oMath>
      </m:oMathPara>
    </w:p>
    <w:bookmarkEnd w:id="30"/>
    <w:bookmarkStart w:id="31" w:name="the-consequences"/>
    <w:p>
      <w:pPr>
        <w:pStyle w:val="Heading2"/>
      </w:pPr>
      <w:r>
        <w:t xml:space="preserve">The Consequences</w:t>
      </w:r>
    </w:p>
    <w:p>
      <w:pPr>
        <w:pStyle w:val="FirstParagraph"/>
      </w:pPr>
      <w:r>
        <w:rPr>
          <w:b/>
          <w:bCs/>
        </w:rPr>
        <w:t xml:space="preserve">Consequence 1:</w:t>
      </w:r>
      <w:r>
        <w:t xml:space="preserve"> </w:t>
      </w:r>
      <w:r>
        <w:t xml:space="preserve">The Trinity is</w:t>
      </w:r>
      <w:r>
        <w:t xml:space="preserve"> </w:t>
      </w:r>
      <w:r>
        <w:rPr>
          <w:b/>
          <w:bCs/>
        </w:rPr>
        <w:t xml:space="preserve">observer-conception-invariant</w:t>
      </w:r>
      <w:r>
        <w:t xml:space="preserve">. It follows from both conceptions.</w:t>
      </w:r>
    </w:p>
    <w:p>
      <w:pPr>
        <w:pStyle w:val="BodyText"/>
      </w:pPr>
      <w:r>
        <w:rPr>
          <w:b/>
          <w:bCs/>
        </w:rPr>
        <w:t xml:space="preserve">Consequence 2:</w:t>
      </w:r>
      <w:r>
        <w:t xml:space="preserve"> </w:t>
      </w:r>
      <w:r>
        <w:t xml:space="preserve">The choice of observer conception is</w:t>
      </w:r>
      <w:r>
        <w:t xml:space="preserve"> </w:t>
      </w:r>
      <w:r>
        <w:rPr>
          <w:b/>
          <w:bCs/>
        </w:rPr>
        <w:t xml:space="preserve">not</w:t>
      </w:r>
      <w:r>
        <w:t xml:space="preserve"> </w:t>
      </w:r>
      <w:r>
        <w:t xml:space="preserve">determined by the structure of reality. It is a</w:t>
      </w:r>
      <w:r>
        <w:t xml:space="preserve"> </w:t>
      </w:r>
      <w:r>
        <w:rPr>
          <w:b/>
          <w:bCs/>
        </w:rPr>
        <w:t xml:space="preserve">metaphysical</w:t>
      </w:r>
      <w:r>
        <w:t xml:space="preserve"> </w:t>
      </w:r>
      <w:r>
        <w:t xml:space="preserve">or</w:t>
      </w:r>
      <w:r>
        <w:t xml:space="preserve"> </w:t>
      </w:r>
      <w:r>
        <w:rPr>
          <w:b/>
          <w:bCs/>
        </w:rPr>
        <w:t xml:space="preserve">physical</w:t>
      </w:r>
      <w:r>
        <w:t xml:space="preserve"> </w:t>
      </w:r>
      <w:r>
        <w:t xml:space="preserve">question.</w:t>
      </w:r>
    </w:p>
    <w:p>
      <w:pPr>
        <w:pStyle w:val="BodyText"/>
      </w:pPr>
      <w:r>
        <w:rPr>
          <w:b/>
          <w:bCs/>
        </w:rPr>
        <w:t xml:space="preserve">Consequence 3:</w:t>
      </w:r>
      <w:r>
        <w:t xml:space="preserve"> </w:t>
      </w:r>
      <w:r>
        <w:t xml:space="preserve">The Trinity is</w:t>
      </w:r>
      <w:r>
        <w:t xml:space="preserve"> </w:t>
      </w:r>
      <w:r>
        <w:rPr>
          <w:b/>
          <w:bCs/>
        </w:rPr>
        <w:t xml:space="preserve">no artifact</w:t>
      </w:r>
      <w:r>
        <w:t xml:space="preserve"> </w:t>
      </w:r>
      <w:r>
        <w:t xml:space="preserve">of a particular observer conception. It is a</w:t>
      </w:r>
      <w:r>
        <w:t xml:space="preserve"> </w:t>
      </w:r>
      <w:r>
        <w:rPr>
          <w:b/>
          <w:bCs/>
        </w:rPr>
        <w:t xml:space="preserve">structural</w:t>
      </w:r>
      <w:r>
        <w:t xml:space="preserve"> </w:t>
      </w:r>
      <w:r>
        <w:t xml:space="preserve">property.</w:t>
      </w:r>
    </w:p>
    <w:bookmarkEnd w:id="31"/>
    <w:bookmarkStart w:id="32" w:name="the-relation-to-tradition"/>
    <w:p>
      <w:pPr>
        <w:pStyle w:val="Heading2"/>
      </w:pPr>
      <w:r>
        <w:t xml:space="preserve">The Relation to Tradition</w:t>
      </w:r>
    </w:p>
    <w:p>
      <w:pPr>
        <w:pStyle w:val="FirstParagraph"/>
      </w:pPr>
      <w:r>
        <w:t xml:space="preserve">Classical metaphysics often seeks</w:t>
      </w:r>
      <w:r>
        <w:t xml:space="preserve"> </w:t>
      </w:r>
      <w:r>
        <w:rPr>
          <w:b/>
          <w:bCs/>
        </w:rPr>
        <w:t xml:space="preserve">one</w:t>
      </w:r>
      <w:r>
        <w:t xml:space="preserve"> </w:t>
      </w:r>
      <w:r>
        <w:t xml:space="preserve">foundation. The present treatise shows: There are</w:t>
      </w:r>
      <w:r>
        <w:t xml:space="preserve"> </w:t>
      </w:r>
      <w:r>
        <w:rPr>
          <w:b/>
          <w:bCs/>
        </w:rPr>
        <w:t xml:space="preserve">two</w:t>
      </w:r>
      <w:r>
        <w:t xml:space="preserve"> </w:t>
      </w:r>
      <w:r>
        <w:t xml:space="preserve">observer conceptions that</w:t>
      </w:r>
      <w:r>
        <w:t xml:space="preserve"> </w:t>
      </w:r>
      <w:r>
        <w:rPr>
          <w:b/>
          <w:bCs/>
        </w:rPr>
        <w:t xml:space="preserve">simultaneously</w:t>
      </w:r>
      <w:r>
        <w:t xml:space="preserve"> </w:t>
      </w:r>
      <w:r>
        <w:t xml:space="preserve">lead to the Trinity. This is</w:t>
      </w:r>
      <w:r>
        <w:t xml:space="preserve"> </w:t>
      </w:r>
      <w:r>
        <w:rPr>
          <w:b/>
          <w:bCs/>
        </w:rPr>
        <w:t xml:space="preserve">not a defect</w:t>
      </w:r>
      <w:r>
        <w:t xml:space="preserve">, but an</w:t>
      </w:r>
      <w:r>
        <w:t xml:space="preserve"> </w:t>
      </w:r>
      <w:r>
        <w:rPr>
          <w:b/>
          <w:bCs/>
        </w:rPr>
        <w:t xml:space="preserve">insight</w:t>
      </w:r>
      <w:r>
        <w:t xml:space="preserve">: The Trinity is</w:t>
      </w:r>
      <w:r>
        <w:t xml:space="preserve"> </w:t>
      </w:r>
      <w:r>
        <w:rPr>
          <w:b/>
          <w:bCs/>
        </w:rPr>
        <w:t xml:space="preserve">robust</w:t>
      </w:r>
      <w:r>
        <w:t xml:space="preserve"> </w:t>
      </w:r>
      <w:r>
        <w:t xml:space="preserve">with respect to the choice of observer conception.</w:t>
      </w:r>
    </w:p>
    <w:bookmarkEnd w:id="32"/>
    <w:bookmarkEnd w:id="33"/>
    <w:bookmarkStart w:id="39" w:name="X48b13dba67674c9931719dbc33b2a5d982a118b"/>
    <w:p>
      <w:pPr>
        <w:pStyle w:val="Heading1"/>
      </w:pPr>
      <w:r>
        <w:t xml:space="preserve">Open Questions: Is There an Observer-Independent Core?</w:t>
      </w:r>
    </w:p>
    <w:bookmarkStart w:id="34" w:name="the-question"/>
    <w:p>
      <w:pPr>
        <w:pStyle w:val="Heading2"/>
      </w:pPr>
      <w:r>
        <w:t xml:space="preserve">The Question</w:t>
      </w:r>
    </w:p>
    <w:p>
      <w:pPr>
        <w:pStyle w:val="FirstParagraph"/>
      </w:pPr>
      <w:r>
        <w:t xml:space="preserve">We have shown: Both observer conceptions lead to the Trinity.</w:t>
      </w:r>
      <w:r>
        <w:t xml:space="preserve"> </w:t>
      </w:r>
      <w:r>
        <w:rPr>
          <w:b/>
          <w:bCs/>
        </w:rPr>
        <w:t xml:space="preserve">Question:</w:t>
      </w:r>
      <w:r>
        <w:t xml:space="preserve"> </w:t>
      </w:r>
      <w:r>
        <w:t xml:space="preserve">Is there an</w:t>
      </w:r>
      <w:r>
        <w:t xml:space="preserve"> </w:t>
      </w:r>
      <w:r>
        <w:rPr>
          <w:b/>
          <w:bCs/>
        </w:rPr>
        <w:t xml:space="preserve">observer-independent core</w:t>
      </w:r>
      <w:r>
        <w:t xml:space="preserve"> </w:t>
      </w:r>
      <w:r>
        <w:t xml:space="preserve">that underlies</w:t>
      </w:r>
      <w:r>
        <w:t xml:space="preserve"> </w:t>
      </w:r>
      <w:r>
        <w:rPr>
          <w:b/>
          <w:bCs/>
        </w:rPr>
        <w:t xml:space="preserve">both</w:t>
      </w:r>
      <w:r>
        <w:t xml:space="preserve"> </w:t>
      </w:r>
      <w:r>
        <w:t xml:space="preserve">conceptions?</w:t>
      </w:r>
    </w:p>
    <w:bookmarkEnd w:id="34"/>
    <w:bookmarkStart w:id="35" w:name="possible-answers"/>
    <w:p>
      <w:pPr>
        <w:pStyle w:val="Heading2"/>
      </w:pPr>
      <w:r>
        <w:t xml:space="preserve">Possible Answers</w:t>
      </w:r>
    </w:p>
    <w:p>
      <w:pPr>
        <w:pStyle w:val="FirstParagraph"/>
      </w:pPr>
      <w:r>
        <w:rPr>
          <w:b/>
          <w:bCs/>
        </w:rPr>
        <w:t xml:space="preserve">Answer 1:</w:t>
      </w:r>
      <w:r>
        <w:t xml:space="preserve"> </w:t>
      </w:r>
      <w:r>
        <w:t xml:space="preserve">Yes. The observer-independent core is the</w:t>
      </w:r>
      <w:r>
        <w:t xml:space="preserve"> </w:t>
      </w:r>
      <w:r>
        <w:rPr>
          <w:b/>
          <w:bCs/>
        </w:rPr>
        <w:t xml:space="preserve">structural unity</w:t>
      </w:r>
      <w:r>
        <w:t xml:space="preserve"> </w:t>
      </w:r>
      <w:r>
        <w:t xml:space="preserve">of the Trinity. It holds independently of whether it is constituted by an observer or grasped structurally.</w:t>
      </w:r>
    </w:p>
    <w:p>
      <w:pPr>
        <w:pStyle w:val="BodyText"/>
      </w:pPr>
      <w:r>
        <w:rPr>
          <w:b/>
          <w:bCs/>
        </w:rPr>
        <w:t xml:space="preserve">Answer 2:</w:t>
      </w:r>
      <w:r>
        <w:t xml:space="preserve"> </w:t>
      </w:r>
      <w:r>
        <w:t xml:space="preserve">No. There is no observer-independent core. The Trinity is</w:t>
      </w:r>
      <w:r>
        <w:t xml:space="preserve"> </w:t>
      </w:r>
      <w:r>
        <w:rPr>
          <w:b/>
          <w:bCs/>
        </w:rPr>
        <w:t xml:space="preserve">always</w:t>
      </w:r>
      <w:r>
        <w:t xml:space="preserve"> </w:t>
      </w:r>
      <w:r>
        <w:t xml:space="preserve">observer-relative — either constitutive or structural.</w:t>
      </w:r>
    </w:p>
    <w:p>
      <w:pPr>
        <w:pStyle w:val="BodyText"/>
      </w:pPr>
      <w:r>
        <w:rPr>
          <w:b/>
          <w:bCs/>
        </w:rPr>
        <w:t xml:space="preserve">Answer 3:</w:t>
      </w:r>
      <w:r>
        <w:t xml:space="preserve"> </w:t>
      </w:r>
      <w:r>
        <w:t xml:space="preserve">The question is</w:t>
      </w:r>
      <w:r>
        <w:t xml:space="preserve"> </w:t>
      </w:r>
      <w:r>
        <w:rPr>
          <w:b/>
          <w:bCs/>
        </w:rPr>
        <w:t xml:space="preserve">open</w:t>
      </w:r>
      <w:r>
        <w:t xml:space="preserve">. There are arguments for both positions.</w:t>
      </w:r>
    </w:p>
    <w:bookmarkEnd w:id="35"/>
    <w:bookmarkStart w:id="36" w:name="what-we-have-shown"/>
    <w:p>
      <w:pPr>
        <w:pStyle w:val="Heading2"/>
      </w:pPr>
      <w:r>
        <w:t xml:space="preserve">What We Have Shown</w:t>
      </w:r>
    </w:p>
    <w:p>
      <w:pPr>
        <w:pStyle w:val="FirstParagraph"/>
      </w:pPr>
      <w:r>
        <w:t xml:space="preserve">We have</w:t>
      </w:r>
      <w:r>
        <w:t xml:space="preserve"> </w:t>
      </w:r>
      <w:r>
        <w:rPr>
          <w:b/>
          <w:bCs/>
        </w:rPr>
        <w:t xml:space="preserve">not</w:t>
      </w:r>
      <w:r>
        <w:t xml:space="preserve"> </w:t>
      </w:r>
      <w:r>
        <w:t xml:space="preserve">shown that there is an observer-independent core. We have only shown that</w:t>
      </w:r>
      <w:r>
        <w:t xml:space="preserve"> </w:t>
      </w:r>
      <w:r>
        <w:rPr>
          <w:b/>
          <w:bCs/>
        </w:rPr>
        <w:t xml:space="preserve">both</w:t>
      </w:r>
      <w:r>
        <w:t xml:space="preserve"> </w:t>
      </w:r>
      <w:r>
        <w:t xml:space="preserve">observer conceptions lead to the Trinity.</w:t>
      </w:r>
    </w:p>
    <w:p>
      <w:pPr>
        <w:pStyle w:val="BodyText"/>
      </w:pPr>
      <w:r>
        <w:t xml:space="preserve">The question of the observer-independent core remains</w:t>
      </w:r>
      <w:r>
        <w:t xml:space="preserve"> </w:t>
      </w:r>
      <w:r>
        <w:rPr>
          <w:b/>
          <w:bCs/>
        </w:rPr>
        <w:t xml:space="preserve">open</w:t>
      </w:r>
      <w:r>
        <w:t xml:space="preserve">. It is the subject of</w:t>
      </w:r>
      <w:r>
        <w:t xml:space="preserve"> </w:t>
      </w:r>
      <w:r>
        <w:rPr>
          <w:b/>
          <w:bCs/>
        </w:rPr>
        <w:t xml:space="preserve">Modal 14</w:t>
      </w:r>
      <w:r>
        <w:t xml:space="preserve"> </w:t>
      </w:r>
      <w:r>
        <w:t xml:space="preserve">(Unity of Perspectives).</w:t>
      </w:r>
    </w:p>
    <w:bookmarkEnd w:id="36"/>
    <w:bookmarkStart w:id="37" w:name="a-second-open-question"/>
    <w:p>
      <w:pPr>
        <w:pStyle w:val="Heading2"/>
      </w:pPr>
      <w:r>
        <w:t xml:space="preserve">A Second Open Question</w:t>
      </w:r>
    </w:p>
    <w:p>
      <w:pPr>
        <w:pStyle w:val="FirstParagraph"/>
      </w:pPr>
      <w:r>
        <w:rPr>
          <w:b/>
          <w:bCs/>
        </w:rPr>
        <w:t xml:space="preserve">Question:</w:t>
      </w:r>
      <w:r>
        <w:t xml:space="preserve"> </w:t>
      </w:r>
      <w:r>
        <w:t xml:space="preserve">Is there a</w:t>
      </w:r>
      <w:r>
        <w:t xml:space="preserve"> </w:t>
      </w:r>
      <w:r>
        <w:rPr>
          <w:b/>
          <w:bCs/>
        </w:rPr>
        <w:t xml:space="preserve">third</w:t>
      </w:r>
      <w:r>
        <w:t xml:space="preserve"> </w:t>
      </w:r>
      <w:r>
        <w:t xml:space="preserve">observer conception?</w:t>
      </w:r>
    </w:p>
    <w:p>
      <w:pPr>
        <w:pStyle w:val="BodyText"/>
      </w:pPr>
      <w:r>
        <w:rPr>
          <w:b/>
          <w:bCs/>
        </w:rPr>
        <w:t xml:space="preserve">Possible candidates:</w:t>
      </w:r>
    </w:p>
    <w:p>
      <w:pPr>
        <w:pStyle w:val="Compact"/>
        <w:numPr>
          <w:ilvl w:val="0"/>
          <w:numId w:val="1008"/>
        </w:numPr>
      </w:pPr>
      <w:r>
        <w:t xml:space="preserve">The</w:t>
      </w:r>
      <w:r>
        <w:t xml:space="preserve"> </w:t>
      </w:r>
      <w:r>
        <w:rPr>
          <w:b/>
          <w:bCs/>
        </w:rPr>
        <w:t xml:space="preserve">relational</w:t>
      </w:r>
      <w:r>
        <w:t xml:space="preserve"> </w:t>
      </w:r>
      <w:r>
        <w:t xml:space="preserve">conception (Rovelli).</w:t>
      </w:r>
    </w:p>
    <w:p>
      <w:pPr>
        <w:pStyle w:val="Compact"/>
        <w:numPr>
          <w:ilvl w:val="0"/>
          <w:numId w:val="1008"/>
        </w:numPr>
      </w:pPr>
      <w:r>
        <w:t xml:space="preserve">The</w:t>
      </w:r>
      <w:r>
        <w:t xml:space="preserve"> </w:t>
      </w:r>
      <w:r>
        <w:rPr>
          <w:b/>
          <w:bCs/>
        </w:rPr>
        <w:t xml:space="preserve">epistemic</w:t>
      </w:r>
      <w:r>
        <w:t xml:space="preserve"> </w:t>
      </w:r>
      <w:r>
        <w:t xml:space="preserve">conception (QBism).</w:t>
      </w:r>
    </w:p>
    <w:p>
      <w:pPr>
        <w:pStyle w:val="Compact"/>
        <w:numPr>
          <w:ilvl w:val="0"/>
          <w:numId w:val="1008"/>
        </w:numPr>
      </w:pPr>
      <w:r>
        <w:t xml:space="preserve">The</w:t>
      </w:r>
      <w:r>
        <w:t xml:space="preserve"> </w:t>
      </w:r>
      <w:r>
        <w:rPr>
          <w:b/>
          <w:bCs/>
        </w:rPr>
        <w:t xml:space="preserve">process-philosophical</w:t>
      </w:r>
      <w:r>
        <w:t xml:space="preserve"> </w:t>
      </w:r>
      <w:r>
        <w:t xml:space="preserve">conception (Whitehead).</w:t>
      </w:r>
    </w:p>
    <w:bookmarkEnd w:id="37"/>
    <w:bookmarkStart w:id="38" w:name="a-third-open-question"/>
    <w:p>
      <w:pPr>
        <w:pStyle w:val="Heading2"/>
      </w:pPr>
      <w:r>
        <w:t xml:space="preserve">A Third Open Question</w:t>
      </w:r>
    </w:p>
    <w:p>
      <w:pPr>
        <w:pStyle w:val="FirstParagraph"/>
      </w:pPr>
      <w:r>
        <w:rPr>
          <w:b/>
          <w:bCs/>
        </w:rPr>
        <w:t xml:space="preserve">Question:</w:t>
      </w:r>
      <w:r>
        <w:t xml:space="preserve"> </w:t>
      </w:r>
      <w:r>
        <w:t xml:space="preserve">Are the two observer operators</w:t>
      </w:r>
      <w:r>
        <w:t xml:space="preserve"> </w:t>
      </w:r>
      <m:oMath>
        <m:sSub>
          <m:e>
            <m:r>
              <m:rPr>
                <m:scr m:val="script"/>
                <m:sty m:val="p"/>
              </m:rPr>
              <m:t>B</m:t>
            </m:r>
          </m:e>
          <m:sub>
            <m:r>
              <m:t>D</m:t>
            </m:r>
          </m:sub>
        </m:sSub>
      </m:oMath>
      <w:r>
        <w:t xml:space="preserve"> </w:t>
      </w:r>
      <w:r>
        <w:t xml:space="preserve">and</w:t>
      </w:r>
      <w:r>
        <w:t xml:space="preserve"> </w:t>
      </w:r>
      <m:oMath>
        <m:sSub>
          <m:e>
            <m:r>
              <m:rPr>
                <m:scr m:val="script"/>
                <m:sty m:val="p"/>
              </m:rPr>
              <m:t>B</m:t>
            </m:r>
          </m:e>
          <m:sub>
            <m:r>
              <m:t>V</m:t>
            </m:r>
          </m:sub>
        </m:sSub>
      </m:oMath>
      <w:r>
        <w:t xml:space="preserve"> </w:t>
      </w:r>
      <w:r>
        <w:rPr>
          <w:b/>
          <w:bCs/>
        </w:rPr>
        <w:t xml:space="preserve">equivalent</w:t>
      </w:r>
      <w:r>
        <w:t xml:space="preserve"> </w:t>
      </w:r>
      <w:r>
        <w:t xml:space="preserve">or</w:t>
      </w:r>
      <w:r>
        <w:t xml:space="preserve"> </w:t>
      </w:r>
      <w:r>
        <w:rPr>
          <w:b/>
          <w:bCs/>
        </w:rPr>
        <w:t xml:space="preserve">different</w:t>
      </w:r>
      <w:r>
        <w:t xml:space="preserve">?</w:t>
      </w:r>
    </w:p>
    <w:p>
      <w:pPr>
        <w:pStyle w:val="BodyText"/>
      </w:pPr>
      <w:r>
        <w:rPr>
          <w:b/>
          <w:bCs/>
        </w:rPr>
        <w:t xml:space="preserve">Answer:</w:t>
      </w:r>
      <w:r>
        <w:t xml:space="preserve"> </w:t>
      </w:r>
      <w:r>
        <w:t xml:space="preserve">According to B3, they are equivalent. But B3 is itself an axiom. The question of whether B3</w:t>
      </w:r>
      <w:r>
        <w:t xml:space="preserve"> </w:t>
      </w:r>
      <w:r>
        <w:rPr>
          <w:b/>
          <w:bCs/>
        </w:rPr>
        <w:t xml:space="preserve">necessarily</w:t>
      </w:r>
      <w:r>
        <w:t xml:space="preserve"> </w:t>
      </w:r>
      <w:r>
        <w:t xml:space="preserve">holds remains open.</w:t>
      </w:r>
    </w:p>
    <w:bookmarkEnd w:id="38"/>
    <w:bookmarkEnd w:id="39"/>
    <w:bookmarkStart w:id="40" w:name="conclusion-what-has-been-shown"/>
    <w:p>
      <w:pPr>
        <w:pStyle w:val="Heading1"/>
      </w:pPr>
      <w:r>
        <w:t xml:space="preserve">Conclusion: What Has Been Shown?</w:t>
      </w:r>
    </w:p>
    <w:p>
      <w:pPr>
        <w:pStyle w:val="FirstParagraph"/>
      </w:pPr>
      <w:r>
        <w:t xml:space="preserve">The present investigation has shown:</w:t>
      </w:r>
    </w:p>
    <w:p>
      <w:pPr>
        <w:numPr>
          <w:ilvl w:val="0"/>
          <w:numId w:val="1009"/>
        </w:numPr>
      </w:pPr>
      <w:r>
        <w:rPr>
          <w:b/>
          <w:bCs/>
        </w:rPr>
        <w:t xml:space="preserve">The observer plays a constitutive role in the DeLillo perspective (Copenhagen), a non-constitutive role in the Van Dormael perspective (MWI).</w:t>
      </w:r>
    </w:p>
    <w:p>
      <w:pPr>
        <w:numPr>
          <w:ilvl w:val="0"/>
          <w:numId w:val="1009"/>
        </w:numPr>
      </w:pPr>
      <w:r>
        <w:rPr>
          <w:b/>
          <w:bCs/>
        </w:rPr>
        <w:t xml:space="preserve">This distinction can be formalized in two observer operators:</w:t>
      </w:r>
      <w:r>
        <w:t xml:space="preserve"> </w:t>
      </w:r>
      <m:oMath>
        <m:sSub>
          <m:e>
            <m:r>
              <m:rPr>
                <m:scr m:val="script"/>
                <m:sty m:val="p"/>
              </m:rPr>
              <m:t>B</m:t>
            </m:r>
          </m:e>
          <m:sub>
            <m:r>
              <m:t>D</m:t>
            </m:r>
          </m:sub>
        </m:sSub>
      </m:oMath>
      <w:r>
        <w:t xml:space="preserve"> </w:t>
      </w:r>
      <w:r>
        <w:t xml:space="preserve">(constitutive) and</w:t>
      </w:r>
      <w:r>
        <w:t xml:space="preserve"> </w:t>
      </w:r>
      <m:oMath>
        <m:sSub>
          <m:e>
            <m:r>
              <m:rPr>
                <m:scr m:val="script"/>
                <m:sty m:val="p"/>
              </m:rPr>
              <m:t>B</m:t>
            </m:r>
          </m:e>
          <m:sub>
            <m:r>
              <m:t>V</m:t>
            </m:r>
          </m:sub>
        </m:sSub>
      </m:oMath>
      <w:r>
        <w:t xml:space="preserve"> </w:t>
      </w:r>
      <w:r>
        <w:t xml:space="preserve">(non-constitutive).</w:t>
      </w:r>
    </w:p>
    <w:p>
      <w:pPr>
        <w:numPr>
          <w:ilvl w:val="0"/>
          <w:numId w:val="1009"/>
        </w:numPr>
      </w:pPr>
      <w:r>
        <w:rPr>
          <w:b/>
          <w:bCs/>
        </w:rPr>
        <w:t xml:space="preserve">Both observer conceptions lead to the Trinity.</w:t>
      </w:r>
      <w:r>
        <w:t xml:space="preserve"> </w:t>
      </w:r>
      <w:r>
        <w:t xml:space="preserve">In S5+SP+</w:t>
      </w:r>
      <m:oMath>
        <m:sSub>
          <m:e>
            <m:r>
              <m:rPr>
                <m:scr m:val="script"/>
                <m:sty m:val="p"/>
              </m:rPr>
              <m:t>B</m:t>
            </m:r>
          </m:e>
          <m:sub>
            <m:r>
              <m:t>D</m:t>
            </m:r>
          </m:sub>
        </m:sSub>
      </m:oMath>
      <w:r>
        <w:t xml:space="preserve"> </w:t>
      </w:r>
      <w:r>
        <w:t xml:space="preserve">for constitutive reasons, in S5+SP+</w:t>
      </w:r>
      <m:oMath>
        <m:sSub>
          <m:e>
            <m:r>
              <m:rPr>
                <m:scr m:val="script"/>
                <m:sty m:val="p"/>
              </m:rPr>
              <m:t>B</m:t>
            </m:r>
          </m:e>
          <m:sub>
            <m:r>
              <m:t>V</m:t>
            </m:r>
          </m:sub>
        </m:sSub>
      </m:oMath>
      <w:r>
        <w:t xml:space="preserve"> </w:t>
      </w:r>
      <w:r>
        <w:t xml:space="preserve">for structural reasons.</w:t>
      </w:r>
    </w:p>
    <w:p>
      <w:pPr>
        <w:numPr>
          <w:ilvl w:val="0"/>
          <w:numId w:val="1009"/>
        </w:numPr>
      </w:pPr>
      <w:r>
        <w:rPr>
          <w:b/>
          <w:bCs/>
        </w:rPr>
        <w:t xml:space="preserve">The Trinity is observer-conception-invariant.</w:t>
      </w:r>
      <w:r>
        <w:t xml:space="preserve"> </w:t>
      </w:r>
      <w:r>
        <w:t xml:space="preserve">It follows from both conceptions.</w:t>
      </w:r>
    </w:p>
    <w:p>
      <w:pPr>
        <w:pStyle w:val="FirstParagraph"/>
      </w:pPr>
      <w:r>
        <w:t xml:space="preserve">The central claim of this treatise is:</w:t>
      </w:r>
    </w:p>
    <w:p>
      <w:pPr>
        <w:pStyle w:val="BlockText"/>
      </w:pPr>
      <w:r>
        <w:rPr>
          <w:b/>
          <w:bCs/>
        </w:rPr>
        <w:t xml:space="preserve">The necessity of the Trinity is not bound to a particular observer conception. Both perspectives lead to the same structure. The Trinity is observer-conception-invariant.</w:t>
      </w:r>
    </w:p>
    <w:p>
      <w:pPr>
        <w:pStyle w:val="FirstParagraph"/>
      </w:pPr>
      <w:r>
        <w:t xml:space="preserve">The question of an observer-independent core remains open. It is the subject of</w:t>
      </w:r>
      <w:r>
        <w:t xml:space="preserve"> </w:t>
      </w:r>
      <w:r>
        <w:rPr>
          <w:b/>
          <w:bCs/>
        </w:rPr>
        <w:t xml:space="preserve">Modal 14</w:t>
      </w:r>
      <w:r>
        <w:t xml:space="preserve"> </w:t>
      </w:r>
      <w:r>
        <w:t xml:space="preserve">(Unity of Perspectives).</w:t>
      </w:r>
    </w:p>
    <w:bookmarkEnd w:id="40"/>
    <w:bookmarkStart w:id="44" w:name="appendix-a-the-axioms-in-an-overview"/>
    <w:p>
      <w:pPr>
        <w:pStyle w:val="Heading1"/>
      </w:pPr>
      <w:r>
        <w:t xml:space="preserve">Appendix A: The Axioms in an Overview</w:t>
      </w:r>
    </w:p>
    <w:bookmarkStart w:id="41" w:name="observer-axioms"/>
    <w:p>
      <w:pPr>
        <w:pStyle w:val="Heading2"/>
      </w:pPr>
      <w:r>
        <w:t xml:space="preserve">Observer Axioms</w:t>
      </w:r>
    </w:p>
    <w:p>
      <w:pPr>
        <w:pStyle w:val="FirstParagraph"/>
      </w:pPr>
      <m:oMathPara>
        <m:oMathParaPr>
          <m:jc m:val="center"/>
        </m:oMathParaPr>
        <m:oMath>
          <m:eqArr>
            <m:e>
              <m:r>
                <m:t>B</m:t>
              </m:r>
              <m:r>
                <m:t>1</m:t>
              </m:r>
              <m:r>
                <m:t>&amp;</m:t>
              </m:r>
              <m:box>
                <m:boxPr>
                  <m:opEmu m:val="on"/>
                </m:boxPr>
                <m:e>
                  <m:r>
                    <m:rPr>
                      <m:sty m:val="p"/>
                    </m:rPr>
                    <m:t>:=</m:t>
                  </m:r>
                </m:e>
              </m:box>
              <m:r>
                <m:rPr>
                  <m:sty m:val="p"/>
                </m:rPr>
                <m:t>□</m:t>
              </m:r>
              <m:r>
                <m:rPr>
                  <m:sty m:val="p"/>
                </m:rPr>
                <m:t>(</m:t>
              </m:r>
              <m:sSub>
                <m:e>
                  <m:r>
                    <m:rPr>
                      <m:scr m:val="script"/>
                      <m:sty m:val="p"/>
                    </m:rPr>
                    <m:t>B</m:t>
                  </m:r>
                </m:e>
                <m:sub>
                  <m:r>
                    <m:t>D</m:t>
                  </m:r>
                </m:sub>
              </m:sSub>
              <m:r>
                <m:t>p</m:t>
              </m:r>
              <m:r>
                <m:rPr>
                  <m:sty m:val="p"/>
                </m:rPr>
                <m:t>→</m:t>
              </m:r>
              <m:r>
                <m:t>p</m:t>
              </m:r>
              <m:r>
                <m:rPr>
                  <m:sty m:val="p"/>
                </m:rPr>
                <m:t>)</m:t>
              </m:r>
            </m:e>
            <m:e>
              <m:r>
                <m:t>B</m:t>
              </m:r>
              <m:r>
                <m:t>2</m:t>
              </m:r>
              <m:r>
                <m:t>&amp;</m:t>
              </m:r>
              <m:box>
                <m:boxPr>
                  <m:opEmu m:val="on"/>
                </m:boxPr>
                <m:e>
                  <m:r>
                    <m:rPr>
                      <m:sty m:val="p"/>
                    </m:rPr>
                    <m:t>:=</m:t>
                  </m:r>
                </m:e>
              </m:box>
              <m:r>
                <m:rPr>
                  <m:sty m:val="p"/>
                </m:rPr>
                <m:t>□</m:t>
              </m:r>
              <m:r>
                <m:rPr>
                  <m:sty m:val="p"/>
                </m:rPr>
                <m:t>(</m:t>
              </m:r>
              <m:sSub>
                <m:e>
                  <m:r>
                    <m:rPr>
                      <m:scr m:val="script"/>
                      <m:sty m:val="p"/>
                    </m:rPr>
                    <m:t>B</m:t>
                  </m:r>
                </m:e>
                <m:sub>
                  <m:r>
                    <m:t>V</m:t>
                  </m:r>
                </m:sub>
              </m:sSub>
              <m:r>
                <m:t>p</m:t>
              </m:r>
              <m:r>
                <m:rPr>
                  <m:sty m:val="p"/>
                </m:rPr>
                <m:t>→</m:t>
              </m:r>
              <m:r>
                <m:t>p</m:t>
              </m:r>
              <m:r>
                <m:rPr>
                  <m:sty m:val="p"/>
                </m:rPr>
                <m:t>)</m:t>
              </m:r>
            </m:e>
            <m:e>
              <m:r>
                <m:t>B</m:t>
              </m:r>
              <m:r>
                <m:t>3</m:t>
              </m:r>
              <m:r>
                <m:t>&amp;</m:t>
              </m:r>
              <m:box>
                <m:boxPr>
                  <m:opEmu m:val="on"/>
                </m:boxPr>
                <m:e>
                  <m:r>
                    <m:rPr>
                      <m:sty m:val="p"/>
                    </m:rPr>
                    <m:t>:=</m:t>
                  </m:r>
                </m:e>
              </m:box>
              <m:r>
                <m:rPr>
                  <m:sty m:val="p"/>
                </m:rPr>
                <m:t>□</m:t>
              </m:r>
              <m:r>
                <m:rPr>
                  <m:sty m:val="p"/>
                </m:rPr>
                <m:t>(</m:t>
              </m:r>
              <m:sSub>
                <m:e>
                  <m:r>
                    <m:rPr>
                      <m:scr m:val="script"/>
                      <m:sty m:val="p"/>
                    </m:rPr>
                    <m:t>B</m:t>
                  </m:r>
                </m:e>
                <m:sub>
                  <m:r>
                    <m:t>D</m:t>
                  </m:r>
                </m:sub>
              </m:sSub>
              <m:r>
                <m:t>p</m:t>
              </m:r>
              <m:r>
                <m:rPr>
                  <m:sty m:val="p"/>
                </m:rPr>
                <m:t>↔</m:t>
              </m:r>
              <m:sSub>
                <m:e>
                  <m:r>
                    <m:rPr>
                      <m:scr m:val="script"/>
                      <m:sty m:val="p"/>
                    </m:rPr>
                    <m:t>B</m:t>
                  </m:r>
                </m:e>
                <m:sub>
                  <m:r>
                    <m:t>V</m:t>
                  </m:r>
                </m:sub>
              </m:sSub>
              <m:r>
                <m:t>p</m:t>
              </m:r>
              <m:r>
                <m:rPr>
                  <m:sty m:val="p"/>
                </m:rPr>
                <m:t>)</m:t>
              </m:r>
            </m:e>
            <m:e>
              <m:r>
                <m:t>B</m:t>
              </m:r>
              <m:r>
                <m:t>4</m:t>
              </m:r>
              <m:r>
                <m:t>&amp;</m:t>
              </m:r>
              <m:box>
                <m:boxPr>
                  <m:opEmu m:val="on"/>
                </m:boxPr>
                <m:e>
                  <m:r>
                    <m:rPr>
                      <m:sty m:val="p"/>
                    </m:rPr>
                    <m:t>:=</m:t>
                  </m:r>
                </m:e>
              </m:box>
              <m:r>
                <m:rPr>
                  <m:sty m:val="p"/>
                </m:rPr>
                <m:t>□</m:t>
              </m:r>
              <m:r>
                <m:rPr>
                  <m:sty m:val="p"/>
                </m:rPr>
                <m:t>(</m:t>
              </m:r>
              <m:sSub>
                <m:e>
                  <m:r>
                    <m:rPr>
                      <m:scr m:val="script"/>
                      <m:sty m:val="p"/>
                    </m:rPr>
                    <m:t>B</m:t>
                  </m:r>
                </m:e>
                <m:sub>
                  <m:r>
                    <m:t>D</m:t>
                  </m:r>
                </m:sub>
              </m:sSub>
              <m:r>
                <m:rPr>
                  <m:sty m:val="p"/>
                </m:rPr>
                <m:t>(</m:t>
              </m:r>
              <m:r>
                <m:t>U</m:t>
              </m:r>
              <m:r>
                <m:rPr>
                  <m:sty m:val="p"/>
                </m:rPr>
                <m:t>∧</m:t>
              </m:r>
              <m:r>
                <m:t>T</m:t>
              </m:r>
              <m:r>
                <m:rPr>
                  <m:sty m:val="p"/>
                </m:rPr>
                <m:t>∧</m:t>
              </m:r>
              <m:r>
                <m:t>S</m:t>
              </m:r>
              <m:r>
                <m:rPr>
                  <m:sty m:val="p"/>
                </m:rPr>
                <m:t>)</m:t>
              </m:r>
              <m:r>
                <m:rPr>
                  <m:sty m:val="p"/>
                </m:rPr>
                <m:t>∧</m:t>
              </m:r>
              <m:sSub>
                <m:e>
                  <m:r>
                    <m:rPr>
                      <m:scr m:val="script"/>
                      <m:sty m:val="p"/>
                    </m:rPr>
                    <m:t>B</m:t>
                  </m:r>
                </m:e>
                <m:sub>
                  <m:r>
                    <m:t>V</m:t>
                  </m:r>
                </m:sub>
              </m:sSub>
              <m:r>
                <m:rPr>
                  <m:sty m:val="p"/>
                </m:rPr>
                <m:t>(</m:t>
              </m:r>
              <m:r>
                <m:t>U</m:t>
              </m:r>
              <m:r>
                <m:rPr>
                  <m:sty m:val="p"/>
                </m:rPr>
                <m:t>∧</m:t>
              </m:r>
              <m:r>
                <m:t>T</m:t>
              </m:r>
              <m:r>
                <m:rPr>
                  <m:sty m:val="p"/>
                </m:rPr>
                <m:t>∧</m:t>
              </m:r>
              <m:r>
                <m:t>S</m:t>
              </m:r>
              <m:r>
                <m:rPr>
                  <m:sty m:val="p"/>
                </m:rPr>
                <m:t>)</m:t>
              </m:r>
              <m:r>
                <m:rPr>
                  <m:sty m:val="p"/>
                </m:rPr>
                <m:t>)</m:t>
              </m:r>
            </m:e>
          </m:eqArr>
        </m:oMath>
      </m:oMathPara>
    </w:p>
    <w:bookmarkEnd w:id="41"/>
    <w:bookmarkStart w:id="42" w:name="semantics"/>
    <w:p>
      <w:pPr>
        <w:pStyle w:val="Heading2"/>
      </w:pPr>
      <w:r>
        <w:t xml:space="preserve">Semantics</w:t>
      </w:r>
    </w:p>
    <w:p>
      <w:pPr>
        <w:pStyle w:val="FirstParagraph"/>
      </w:pPr>
      <m:oMathPara>
        <m:oMathParaPr>
          <m:jc m:val="center"/>
        </m:oMathParaPr>
        <m:oMath>
          <m:eqArr>
            <m:e>
              <m:sSub>
                <m:e>
                  <m:r>
                    <m:rPr>
                      <m:scr m:val="script"/>
                      <m:sty m:val="p"/>
                    </m:rPr>
                    <m:t>B</m:t>
                  </m:r>
                </m:e>
                <m:sub>
                  <m:r>
                    <m:t>D</m:t>
                  </m:r>
                </m:sub>
              </m:sSub>
              <m:r>
                <m:t>p</m:t>
              </m:r>
              <m:r>
                <m:rPr>
                  <m:sty m:val="p"/>
                </m:rPr>
                <m:t>@</m:t>
              </m:r>
              <m:r>
                <m:t>w</m:t>
              </m:r>
              <m:r>
                <m:t>&amp;</m:t>
              </m:r>
              <m:r>
                <m:rPr>
                  <m:sty m:val="p"/>
                </m:rPr>
                <m:t>⇔</m:t>
              </m:r>
              <m:r>
                <m:rPr>
                  <m:nor/>
                  <m:sty m:val="p"/>
                </m:rPr>
                <m:t>the observer in </m:t>
              </m:r>
              <m:r>
                <m:t>w</m:t>
              </m:r>
              <m:r>
                <m:rPr>
                  <m:nor/>
                  <m:sty m:val="p"/>
                </m:rPr>
                <m:t> constitutes </m:t>
              </m:r>
              <m:r>
                <m:t>p</m:t>
              </m:r>
            </m:e>
            <m:e>
              <m:sSub>
                <m:e>
                  <m:r>
                    <m:rPr>
                      <m:scr m:val="script"/>
                      <m:sty m:val="p"/>
                    </m:rPr>
                    <m:t>B</m:t>
                  </m:r>
                </m:e>
                <m:sub>
                  <m:r>
                    <m:t>V</m:t>
                  </m:r>
                </m:sub>
              </m:sSub>
              <m:r>
                <m:t>p</m:t>
              </m:r>
              <m:r>
                <m:rPr>
                  <m:sty m:val="p"/>
                </m:rPr>
                <m:t>@</m:t>
              </m:r>
              <m:r>
                <m:t>w</m:t>
              </m:r>
              <m:r>
                <m:t>&amp;</m:t>
              </m:r>
              <m:r>
                <m:rPr>
                  <m:sty m:val="p"/>
                </m:rPr>
                <m:t>⇔</m:t>
              </m:r>
              <m:r>
                <m:t>p</m:t>
              </m:r>
              <m:r>
                <m:rPr>
                  <m:nor/>
                  <m:sty m:val="p"/>
                </m:rPr>
                <m:t> holds structurally in </m:t>
              </m:r>
              <m:r>
                <m:t>w</m:t>
              </m:r>
            </m:e>
          </m:eqArr>
        </m:oMath>
      </m:oMathPara>
    </w:p>
    <w:bookmarkEnd w:id="42"/>
    <w:bookmarkStart w:id="43" w:name="the-main-theorem-1"/>
    <w:p>
      <w:pPr>
        <w:pStyle w:val="Heading2"/>
      </w:pPr>
      <w:r>
        <w:t xml:space="preserve">The Main Theorem</w:t>
      </w:r>
    </w:p>
    <w:p>
      <w:pPr>
        <w:pStyle w:val="FirstParagraph"/>
      </w:pPr>
      <m:oMathPara>
        <m:oMathParaPr>
          <m:jc m:val="center"/>
        </m:oMathParaPr>
        <m:oMath>
          <m:borderBox>
            <m:e>
              <m:r>
                <m:t>S</m:t>
              </m:r>
              <m:r>
                <m:t>5</m:t>
              </m:r>
              <m:r>
                <m:rPr>
                  <m:sty m:val="p"/>
                </m:rPr>
                <m:t>+</m:t>
              </m:r>
              <m:r>
                <m:t>S</m:t>
              </m:r>
              <m:r>
                <m:t>P</m:t>
              </m:r>
              <m:r>
                <m:rPr>
                  <m:sty m:val="p"/>
                </m:rPr>
                <m:t>+</m:t>
              </m:r>
              <m:r>
                <m:t>B</m:t>
              </m:r>
              <m:r>
                <m:t>1</m:t>
              </m:r>
              <m:r>
                <m:rPr>
                  <m:sty m:val="p"/>
                </m:rPr>
                <m:t>+</m:t>
              </m:r>
              <m:r>
                <m:t>B</m:t>
              </m:r>
              <m:r>
                <m:t>2</m:t>
              </m:r>
              <m:r>
                <m:rPr>
                  <m:sty m:val="p"/>
                </m:rPr>
                <m:t>+</m:t>
              </m:r>
              <m:r>
                <m:t>B</m:t>
              </m:r>
              <m:r>
                <m:t>3</m:t>
              </m:r>
              <m:r>
                <m:rPr>
                  <m:sty m:val="p"/>
                </m:rPr>
                <m:t>+</m:t>
              </m:r>
              <m:r>
                <m:t>B</m:t>
              </m:r>
              <m:r>
                <m:t>4</m:t>
              </m:r>
              <m:r>
                <m:rPr>
                  <m:sty m:val="p"/>
                </m:rPr>
                <m:t>⊢</m:t>
              </m:r>
              <m:r>
                <m:rPr>
                  <m:sty m:val="p"/>
                </m:rPr>
                <m:t>□</m:t>
              </m:r>
              <m:r>
                <m:rPr>
                  <m:sty m:val="p"/>
                </m:rPr>
                <m:t>(</m:t>
              </m:r>
              <m:r>
                <m:t>U</m:t>
              </m:r>
              <m:r>
                <m:rPr>
                  <m:sty m:val="p"/>
                </m:rPr>
                <m:t>∧</m:t>
              </m:r>
              <m:r>
                <m:t>T</m:t>
              </m:r>
              <m:r>
                <m:rPr>
                  <m:sty m:val="p"/>
                </m:rPr>
                <m:t>∧</m:t>
              </m:r>
              <m:r>
                <m:t>S</m:t>
              </m:r>
              <m:r>
                <m:rPr>
                  <m:sty m:val="p"/>
                </m:rPr>
                <m:t>)</m:t>
              </m:r>
            </m:e>
          </m:borderBox>
        </m:oMath>
      </m:oMathPara>
    </w:p>
    <w:bookmarkEnd w:id="43"/>
    <w:bookmarkEnd w:id="44"/>
    <w:bookmarkStart w:id="45" w:name="X1f42b59ddcd5f8d4652cc3f3944f3b323fefc24"/>
    <w:p>
      <w:pPr>
        <w:pStyle w:val="Heading1"/>
      </w:pPr>
      <w:r>
        <w:t xml:space="preserve">Appendix B: Comparison with Everett, Bohr, Rovelli</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Interpreter</w:t>
            </w:r>
          </w:p>
        </w:tc>
        <w:tc>
          <w:tcPr/>
          <w:p>
            <w:pPr>
              <w:pStyle w:val="Compact"/>
            </w:pPr>
            <w:r>
              <w:t xml:space="preserve">Observer</w:t>
            </w:r>
          </w:p>
        </w:tc>
        <w:tc>
          <w:tcPr/>
          <w:p>
            <w:pPr>
              <w:pStyle w:val="Compact"/>
            </w:pPr>
            <w:r>
              <w:t xml:space="preserve">Role</w:t>
            </w:r>
          </w:p>
        </w:tc>
        <w:tc>
          <w:tcPr/>
          <w:p>
            <w:pPr>
              <w:pStyle w:val="Compact"/>
            </w:pPr>
            <w:r>
              <w:t xml:space="preserve">Comparison</w:t>
            </w:r>
          </w:p>
        </w:tc>
      </w:tr>
      <w:tr>
        <w:tc>
          <w:tcPr/>
          <w:p>
            <w:pPr>
              <w:pStyle w:val="Compact"/>
            </w:pPr>
            <w:r>
              <w:t xml:space="preserve">Bohr</w:t>
            </w:r>
          </w:p>
        </w:tc>
        <w:tc>
          <w:tcPr/>
          <w:p>
            <w:pPr>
              <w:pStyle w:val="Compact"/>
            </w:pPr>
            <w:r>
              <w:t xml:space="preserve">Constitutive</w:t>
            </w:r>
          </w:p>
        </w:tc>
        <w:tc>
          <w:tcPr/>
          <w:p>
            <w:pPr>
              <w:pStyle w:val="Compact"/>
            </w:pPr>
            <w:r>
              <w:t xml:space="preserve">Generates reality</w:t>
            </w:r>
          </w:p>
        </w:tc>
        <w:tc>
          <w:tcPr/>
          <w:p>
            <w:pPr>
              <w:pStyle w:val="Compact"/>
            </w:pPr>
            <m:oMath>
              <m:sSub>
                <m:e>
                  <m:r>
                    <m:rPr>
                      <m:scr m:val="script"/>
                      <m:sty m:val="p"/>
                    </m:rPr>
                    <m:t>B</m:t>
                  </m:r>
                </m:e>
                <m:sub>
                  <m:r>
                    <m:t>D</m:t>
                  </m:r>
                </m:sub>
              </m:sSub>
            </m:oMath>
          </w:p>
        </w:tc>
      </w:tr>
      <w:tr>
        <w:tc>
          <w:tcPr/>
          <w:p>
            <w:pPr>
              <w:pStyle w:val="Compact"/>
            </w:pPr>
            <w:r>
              <w:t xml:space="preserve">Everett</w:t>
            </w:r>
          </w:p>
        </w:tc>
        <w:tc>
          <w:tcPr/>
          <w:p>
            <w:pPr>
              <w:pStyle w:val="Compact"/>
            </w:pPr>
            <w:r>
              <w:t xml:space="preserve">Non-constitutive</w:t>
            </w:r>
          </w:p>
        </w:tc>
        <w:tc>
          <w:tcPr/>
          <w:p>
            <w:pPr>
              <w:pStyle w:val="Compact"/>
            </w:pPr>
            <w:r>
              <w:t xml:space="preserve">Part of branching</w:t>
            </w:r>
          </w:p>
        </w:tc>
        <w:tc>
          <w:tcPr/>
          <w:p>
            <w:pPr>
              <w:pStyle w:val="Compact"/>
            </w:pPr>
            <m:oMath>
              <m:sSub>
                <m:e>
                  <m:r>
                    <m:rPr>
                      <m:scr m:val="script"/>
                      <m:sty m:val="p"/>
                    </m:rPr>
                    <m:t>B</m:t>
                  </m:r>
                </m:e>
                <m:sub>
                  <m:r>
                    <m:t>V</m:t>
                  </m:r>
                </m:sub>
              </m:sSub>
            </m:oMath>
          </w:p>
        </w:tc>
      </w:tr>
      <w:tr>
        <w:tc>
          <w:tcPr/>
          <w:p>
            <w:pPr>
              <w:pStyle w:val="Compact"/>
            </w:pPr>
            <w:r>
              <w:t xml:space="preserve">Rovelli</w:t>
            </w:r>
          </w:p>
        </w:tc>
        <w:tc>
          <w:tcPr/>
          <w:p>
            <w:pPr>
              <w:pStyle w:val="Compact"/>
            </w:pPr>
            <w:r>
              <w:t xml:space="preserve">Relational</w:t>
            </w:r>
          </w:p>
        </w:tc>
        <w:tc>
          <w:tcPr/>
          <w:p>
            <w:pPr>
              <w:pStyle w:val="Compact"/>
            </w:pPr>
            <w:r>
              <w:t xml:space="preserve">States relative to observer</w:t>
            </w:r>
          </w:p>
        </w:tc>
        <w:tc>
          <w:tcPr/>
          <w:p>
            <w:pPr>
              <w:pStyle w:val="Compact"/>
            </w:pPr>
            <w:r>
              <w:t xml:space="preserve">Neither</w:t>
            </w:r>
            <w:r>
              <w:t xml:space="preserve"> </w:t>
            </w:r>
            <m:oMath>
              <m:sSub>
                <m:e>
                  <m:r>
                    <m:rPr>
                      <m:scr m:val="script"/>
                      <m:sty m:val="p"/>
                    </m:rPr>
                    <m:t>B</m:t>
                  </m:r>
                </m:e>
                <m:sub>
                  <m:r>
                    <m:t>D</m:t>
                  </m:r>
                </m:sub>
              </m:sSub>
            </m:oMath>
            <w:r>
              <w:t xml:space="preserve"> </w:t>
            </w:r>
            <w:r>
              <w:t xml:space="preserve">nor</w:t>
            </w:r>
            <w:r>
              <w:t xml:space="preserve"> </w:t>
            </w:r>
            <m:oMath>
              <m:sSub>
                <m:e>
                  <m:r>
                    <m:rPr>
                      <m:scr m:val="script"/>
                      <m:sty m:val="p"/>
                    </m:rPr>
                    <m:t>B</m:t>
                  </m:r>
                </m:e>
                <m:sub>
                  <m:r>
                    <m:t>V</m:t>
                  </m:r>
                </m:sub>
              </m:sSub>
            </m:oMath>
          </w:p>
        </w:tc>
      </w:tr>
    </w:tbl>
    <w:bookmarkEnd w:id="45"/>
    <w:bookmarkStart w:id="46" w:name="X3d98fffdc6e2e6e8215495d238bfa6d6f633919"/>
    <w:p>
      <w:pPr>
        <w:pStyle w:val="Heading1"/>
      </w:pPr>
      <w:r>
        <w:t xml:space="preserve">Appendix C: The Three Observer Conceptions in an Overview</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Conception</w:t>
            </w:r>
          </w:p>
        </w:tc>
        <w:tc>
          <w:tcPr/>
          <w:p>
            <w:pPr>
              <w:pStyle w:val="Compact"/>
            </w:pPr>
            <w:r>
              <w:t xml:space="preserve">Operator</w:t>
            </w:r>
          </w:p>
        </w:tc>
        <w:tc>
          <w:tcPr/>
          <w:p>
            <w:pPr>
              <w:pStyle w:val="Compact"/>
            </w:pPr>
            <w:r>
              <w:t xml:space="preserve">Role</w:t>
            </w:r>
          </w:p>
        </w:tc>
        <w:tc>
          <w:tcPr/>
          <w:p>
            <w:pPr>
              <w:pStyle w:val="Compact"/>
            </w:pPr>
            <w:r>
              <w:t xml:space="preserve">Consequence</w:t>
            </w:r>
          </w:p>
        </w:tc>
      </w:tr>
      <w:tr>
        <w:tc>
          <w:tcPr/>
          <w:p>
            <w:pPr>
              <w:pStyle w:val="Compact"/>
            </w:pPr>
            <w:r>
              <w:t xml:space="preserve">Constitutive</w:t>
            </w:r>
          </w:p>
        </w:tc>
        <w:tc>
          <w:tcPr/>
          <w:p>
            <w:pPr>
              <w:pStyle w:val="Compact"/>
            </w:pPr>
            <m:oMath>
              <m:sSub>
                <m:e>
                  <m:r>
                    <m:rPr>
                      <m:scr m:val="script"/>
                      <m:sty m:val="p"/>
                    </m:rPr>
                    <m:t>B</m:t>
                  </m:r>
                </m:e>
                <m:sub>
                  <m:r>
                    <m:t>D</m:t>
                  </m:r>
                </m:sub>
              </m:sSub>
            </m:oMath>
          </w:p>
        </w:tc>
        <w:tc>
          <w:tcPr/>
          <w:p>
            <w:pPr>
              <w:pStyle w:val="Compact"/>
            </w:pPr>
            <w:r>
              <w:t xml:space="preserve">Generates reality</w:t>
            </w:r>
          </w:p>
        </w:tc>
        <w:tc>
          <w:tcPr/>
          <w:p>
            <w:pPr>
              <w:pStyle w:val="Compact"/>
            </w:pPr>
            <w:r>
              <w:t xml:space="preserve">Trinity necessary</w:t>
            </w:r>
          </w:p>
        </w:tc>
      </w:tr>
      <w:tr>
        <w:tc>
          <w:tcPr/>
          <w:p>
            <w:pPr>
              <w:pStyle w:val="Compact"/>
            </w:pPr>
            <w:r>
              <w:t xml:space="preserve">Structural</w:t>
            </w:r>
          </w:p>
        </w:tc>
        <w:tc>
          <w:tcPr/>
          <w:p>
            <w:pPr>
              <w:pStyle w:val="Compact"/>
            </w:pPr>
            <m:oMath>
              <m:sSub>
                <m:e>
                  <m:r>
                    <m:rPr>
                      <m:scr m:val="script"/>
                      <m:sty m:val="p"/>
                    </m:rPr>
                    <m:t>B</m:t>
                  </m:r>
                </m:e>
                <m:sub>
                  <m:r>
                    <m:t>V</m:t>
                  </m:r>
                </m:sub>
              </m:sSub>
            </m:oMath>
          </w:p>
        </w:tc>
        <w:tc>
          <w:tcPr/>
          <w:p>
            <w:pPr>
              <w:pStyle w:val="Compact"/>
            </w:pPr>
            <w:r>
              <w:t xml:space="preserve">Grasps reality</w:t>
            </w:r>
          </w:p>
        </w:tc>
        <w:tc>
          <w:tcPr/>
          <w:p>
            <w:pPr>
              <w:pStyle w:val="Compact"/>
            </w:pPr>
            <w:r>
              <w:t xml:space="preserve">Trinity necessary</w:t>
            </w:r>
          </w:p>
        </w:tc>
      </w:tr>
      <w:tr>
        <w:tc>
          <w:tcPr/>
          <w:p>
            <w:pPr>
              <w:pStyle w:val="Compact"/>
            </w:pPr>
            <w:r>
              <w:t xml:space="preserve">Relational</w:t>
            </w:r>
          </w:p>
        </w:tc>
        <w:tc>
          <w:tcPr/>
          <w:p>
            <w:pPr>
              <w:pStyle w:val="Compact"/>
            </w:pPr>
            <w:r>
              <w:t xml:space="preserve">—</w:t>
            </w:r>
          </w:p>
        </w:tc>
        <w:tc>
          <w:tcPr/>
          <w:p>
            <w:pPr>
              <w:pStyle w:val="Compact"/>
            </w:pPr>
            <w:r>
              <w:t xml:space="preserve">States relative</w:t>
            </w:r>
          </w:p>
        </w:tc>
        <w:tc>
          <w:tcPr/>
          <w:p>
            <w:pPr>
              <w:pStyle w:val="Compact"/>
            </w:pPr>
            <w:r>
              <w:t xml:space="preserve">Open</w:t>
            </w:r>
          </w:p>
        </w:tc>
      </w:tr>
    </w:tbl>
    <w:bookmarkEnd w:id="46"/>
    <w:bookmarkStart w:id="47" w:name="afterword"/>
    <w:p>
      <w:pPr>
        <w:pStyle w:val="Heading1"/>
      </w:pPr>
      <w:r>
        <w:t xml:space="preserve">Afterword</w:t>
      </w:r>
    </w:p>
    <w:p>
      <w:pPr>
        <w:pStyle w:val="FirstParagraph"/>
      </w:pPr>
      <w:r>
        <w:t xml:space="preserve">You have read this treatise. Perhaps the idea surprised you that there are</w:t>
      </w:r>
      <w:r>
        <w:t xml:space="preserve"> </w:t>
      </w:r>
      <w:r>
        <w:rPr>
          <w:b/>
          <w:bCs/>
        </w:rPr>
        <w:t xml:space="preserve">two</w:t>
      </w:r>
      <w:r>
        <w:t xml:space="preserve"> </w:t>
      </w:r>
      <w:r>
        <w:t xml:space="preserve">observer conceptions. Perhaps the consequence impressed you that both lead to the Trinity. Both are fine.</w:t>
      </w:r>
    </w:p>
    <w:p>
      <w:pPr>
        <w:pStyle w:val="BodyText"/>
      </w:pPr>
      <w:r>
        <w:t xml:space="preserve">The investigation has shown: The observer is</w:t>
      </w:r>
      <w:r>
        <w:t xml:space="preserve"> </w:t>
      </w:r>
      <w:r>
        <w:rPr>
          <w:b/>
          <w:bCs/>
        </w:rPr>
        <w:t xml:space="preserve">not a foundation</w:t>
      </w:r>
      <w:r>
        <w:t xml:space="preserve">, but a</w:t>
      </w:r>
      <w:r>
        <w:t xml:space="preserve"> </w:t>
      </w:r>
      <w:r>
        <w:rPr>
          <w:b/>
          <w:bCs/>
        </w:rPr>
        <w:t xml:space="preserve">perspective</w:t>
      </w:r>
      <w:r>
        <w:t xml:space="preserve">. The Trinity is</w:t>
      </w:r>
      <w:r>
        <w:t xml:space="preserve"> </w:t>
      </w:r>
      <w:r>
        <w:rPr>
          <w:b/>
          <w:bCs/>
        </w:rPr>
        <w:t xml:space="preserve">robust</w:t>
      </w:r>
      <w:r>
        <w:t xml:space="preserve"> </w:t>
      </w:r>
      <w:r>
        <w:t xml:space="preserve">with respect to the choice of observer conception. It follows from both.</w:t>
      </w:r>
    </w:p>
    <w:p>
      <w:pPr>
        <w:pStyle w:val="BodyText"/>
      </w:pPr>
      <w:r>
        <w:t xml:space="preserve">What remains is the insight that the Trinity is</w:t>
      </w:r>
      <w:r>
        <w:t xml:space="preserve"> </w:t>
      </w:r>
      <w:r>
        <w:rPr>
          <w:b/>
          <w:bCs/>
        </w:rPr>
        <w:t xml:space="preserve">observer-conception-invariant</w:t>
      </w:r>
      <w:r>
        <w:t xml:space="preserve">. It is not an artifact of a particular observer conception. It is a</w:t>
      </w:r>
      <w:r>
        <w:t xml:space="preserve"> </w:t>
      </w:r>
      <w:r>
        <w:rPr>
          <w:b/>
          <w:bCs/>
        </w:rPr>
        <w:t xml:space="preserve">structural</w:t>
      </w:r>
      <w:r>
        <w:t xml:space="preserve"> </w:t>
      </w:r>
      <w:r>
        <w:t xml:space="preserve">property.</w:t>
      </w:r>
    </w:p>
    <w:p>
      <w:pPr>
        <w:pStyle w:val="BodyText"/>
      </w:pPr>
      <w:r>
        <w:t xml:space="preserve">One final question:</w:t>
      </w:r>
    </w:p>
    <w:p>
      <w:pPr>
        <w:pStyle w:val="BlockText"/>
      </w:pPr>
      <w:r>
        <w:rPr>
          <w:b/>
          <w:bCs/>
        </w:rPr>
        <w:t xml:space="preserve">Do we dare the leap into openness to the limit — even though there are two observer conceptions that are not identical?</w:t>
      </w:r>
    </w:p>
    <w:p>
      <w:pPr>
        <w:pStyle w:val="FirstParagraph"/>
      </w:pPr>
      <w:r>
        <w:rPr>
          <w:i/>
          <w:iCs/>
        </w:rPr>
        <w:t xml:space="preserve">This treatise was written in the spirit of rigorous modal logic, yet in the language of philosophy – for truth requires both: the precision of the formula and the breadth of the concept.</w:t>
      </w:r>
    </w:p>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Observer in Two Interpretations Modal Logic of Measurement in Copenhagen and MWI</dc:title>
  <dc:creator>Paul Koop</dc:creator>
  <dc:language>de</dc:language>
  <cp:keywords/>
  <dcterms:created xsi:type="dcterms:W3CDTF">2026-09-26T13:06:14Z</dcterms:created>
  <dcterms:modified xsi:type="dcterms:W3CDTF">2026-09-26T13:06:14Z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In DieZeitlosigkeitDerSteine2.md, the observer plays a central role — but only in the DeLillo perspective. That is the Copenhagen side: Without observer no measurement, without measurement no collapse, without collapse no reality. The observer is constitutive. In the Van Dormael perspective (MWI), there is no distinguished observer. All worlds exist independently of whether they are observed. The present treatise introduces two observer operators B_D and B_V and proves: In S5+SP+B_D, the Trinity is necessary. In S5+SP+B_V, the Trinity is also necessary, but for different reasons. The metaphysical consequence: The necessity of the Trinity is not bound to a particular observer conception. Both perspectives lead to the same structure.</vt:lpwstr>
  </property>
  <property fmtid="{D5CDD505-2E9C-101B-9397-08002B2CF9AE}" pid="3" name="subtitle">
    <vt:lpwstr>Modal Logic of Measurement in Copenhagen and MWI</vt:lpwstr>
  </property>
  <property fmtid="{D5CDD505-2E9C-101B-9397-08002B2CF9AE}" pid="4" name="version">
    <vt:lpwstr>13</vt:lpwstr>
  </property>
</Properties>
</file>