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Das Ganze in einem Gedanken</w:t>
      </w:r>
      <w:r>
        <w:br/>
      </w:r>
      <w:r>
        <w:t xml:space="preserve">Abschluss der modallogischen Reihe</w:t>
      </w:r>
    </w:p>
    <w:p>
      <w:pPr>
        <w:pStyle w:val="Subtitle"/>
      </w:pPr>
      <w:r>
        <w:t xml:space="preserve">Abschluss der modallogischen Reihe</w:t>
      </w:r>
    </w:p>
    <w:p>
      <w:pPr>
        <w:pStyle w:val="Author"/>
      </w:pPr>
      <w:r>
        <w:t xml:space="preserve">Paul Koop</w:t>
      </w:r>
    </w:p>
    <w:p>
      <w:pPr>
        <w:pStyle w:val="AbstractTitle"/>
      </w:pPr>
      <w:r>
        <w:t xml:space="preserve">Zusammenfassung</w:t>
      </w:r>
    </w:p>
    <w:p>
      <w:pPr>
        <w:pStyle w:val="Abstract"/>
      </w:pPr>
      <w:r>
        <w:t xml:space="preserve">Die Abhandlung zieht die Summe aus 17 Modulen. Sie zeigt: Was die Reihe</w:t>
      </w:r>
      <w:r>
        <w:t xml:space="preserve"> </w:t>
      </w:r>
      <w:r>
        <w:t xml:space="preserve">leistet, ist nicht ein Beweis, sondern eine Landkarte. Sie zeigt die</w:t>
      </w:r>
      <w:r>
        <w:t xml:space="preserve"> </w:t>
      </w:r>
      <w:r>
        <w:t xml:space="preserve">Abhängigkeiten zwischen Axiomen, die Grenzen der Formalisierung, die</w:t>
      </w:r>
      <w:r>
        <w:t xml:space="preserve"> </w:t>
      </w:r>
      <w:r>
        <w:t xml:space="preserve">offenen Fragen. Und sie formuliert den einen Gedanken, der alle</w:t>
      </w:r>
      <w:r>
        <w:t xml:space="preserve"> </w:t>
      </w:r>
      <w:r>
        <w:t xml:space="preserve">Abhandlungen trägt: Die Trinität ist die Struktur, die alle Wege umfasst</w:t>
      </w:r>
      <w:r>
        <w:t xml:space="preserve"> </w:t>
      </w:r>
      <w:r>
        <w:t xml:space="preserve">— auch die, die nicht ankommen. Wir stehen am Anfang der Unendlichkeit.</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Vergangenheit und Zukunft sind Horizonte des Wissens.</w:t>
      </w:r>
      <w:r>
        <w:br/>
      </w:r>
      <w:r>
        <w:rPr>
          <w:i/>
          <w:iCs/>
        </w:rPr>
        <w:t xml:space="preserve">Die Gegenwart ist der Ort der Wirklichkeit.</w:t>
      </w:r>
      <w:r>
        <w:br/>
      </w:r>
      <w:r>
        <w:rPr>
          <w:i/>
          <w:iCs/>
        </w:rPr>
        <w:t xml:space="preserve">Nichts, was war, geht verloren.</w:t>
      </w:r>
    </w:p>
    <w:bookmarkStart w:id="12" w:name="was-die-reihe-gezeigt-hat-eine-übersicht"/>
    <w:p>
      <w:pPr>
        <w:pStyle w:val="Heading1"/>
      </w:pPr>
      <w:r>
        <w:t xml:space="preserve">Was die Reihe gezeigt hat: Eine Übersicht</w:t>
      </w:r>
    </w:p>
    <w:p>
      <w:pPr>
        <w:pStyle w:val="FirstParagraph"/>
      </w:pPr>
      <w:r>
        <w:t xml:space="preserve">Die modallogische Reihe umfasst 17 Module. Sie beginnt mit</w:t>
      </w:r>
      <w:r>
        <w:t xml:space="preserve"> </w:t>
      </w:r>
      <w:r>
        <w:rPr>
          <w:rStyle w:val="VerbatimChar"/>
        </w:rPr>
        <w:t xml:space="preserve">modal5.md</w:t>
      </w:r>
      <w:r>
        <w:t xml:space="preserve"> </w:t>
      </w:r>
      <w:r>
        <w:t xml:space="preserve">als metalogischer Kern und entfaltet sich in den Modulen 6–16 zu einer</w:t>
      </w:r>
      <w:r>
        <w:t xml:space="preserve"> </w:t>
      </w:r>
      <w:r>
        <w:rPr>
          <w:b/>
          <w:bCs/>
        </w:rPr>
        <w:t xml:space="preserve">Landkarte</w:t>
      </w:r>
      <w:r>
        <w:t xml:space="preserve"> </w:t>
      </w:r>
      <w:r>
        <w:t xml:space="preserve">der Trinität.</w:t>
      </w:r>
    </w:p>
    <w:bookmarkStart w:id="9" w:name="die-17-module-im-überblick"/>
    <w:p>
      <w:pPr>
        <w:pStyle w:val="Heading2"/>
      </w:pPr>
      <w:r>
        <w:t xml:space="preserve">Die 17 Module im Überblick</w:t>
      </w:r>
    </w:p>
    <w:p>
      <w:pPr>
        <w:pStyle w:val="FirstParagraph"/>
      </w:pPr>
      <w:r>
        <w:rPr>
          <w:b/>
          <w:bCs/>
        </w:rPr>
        <w:t xml:space="preserve">Modal 5 – Der metalogische Kern.</w:t>
      </w:r>
      <w:r>
        <w:t xml:space="preserve"> </w:t>
      </w:r>
      <w:r>
        <w:t xml:space="preserve">In reinem S5 ist die Trinität nicht ableitbar. Unter den Superpositions-Axiomen ASP1–ASP5 ist sie ableitbar. Die Frage der Minimalität bleibt offen.</w:t>
      </w:r>
    </w:p>
    <w:p>
      <w:pPr>
        <w:pStyle w:val="BodyText"/>
      </w:pPr>
      <w:r>
        <w:rPr>
          <w:b/>
          <w:bCs/>
        </w:rPr>
        <w:t xml:space="preserve">Modal 6 – Die Minimalität der Superpositions-Axiome.</w:t>
      </w:r>
      <w:r>
        <w:t xml:space="preserve"> </w:t>
      </w:r>
      <w:r>
        <w:t xml:space="preserve">ASP1 ist aus ASP2 ableitbar und damit redundant. Die minimale Teilmenge für die Zielaussage ist</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Die volle Axiomatik ist minimal für die Superpositions-Intuition, nicht für die Zielaussage.</w:t>
      </w:r>
    </w:p>
    <w:p>
      <w:pPr>
        <w:pStyle w:val="BodyText"/>
      </w:pPr>
      <w:r>
        <w:rPr>
          <w:b/>
          <w:bCs/>
        </w:rPr>
        <w:t xml:space="preserve">Modal 7 – Die Nicht-Eindeutigkeit.</w:t>
      </w:r>
      <w:r>
        <w:t xml:space="preserve"> </w:t>
      </w:r>
      <w:r>
        <w:t xml:space="preserve">Es gibt mindestens vier systematisch verschiedene Erweiterungen von S5, die die Trinität ableiten: Superposition, Topologie, Temporalität, Mereologie. Die Trinität ist axiomen-invariant.</w:t>
      </w:r>
    </w:p>
    <w:p>
      <w:pPr>
        <w:pStyle w:val="BodyText"/>
      </w:pPr>
      <w:r>
        <w:rPr>
          <w:b/>
          <w:bCs/>
        </w:rPr>
        <w:t xml:space="preserve">Modal 8 – Die Trinität als Grenzwert.</w:t>
      </w:r>
      <w:r>
        <w:t xml:space="preserve"> </w:t>
      </w:r>
      <w:r>
        <w:t xml:space="preserve">Die informale Grenzwertdefinition aus</w:t>
      </w:r>
      <w:r>
        <w:t xml:space="preserve"> </w:t>
      </w:r>
      <w:r>
        <w:rPr>
          <w:rStyle w:val="VerbatimChar"/>
        </w:rPr>
        <w:t xml:space="preserve">modal5.md</w:t>
      </w:r>
      <w:r>
        <w:t xml:space="preserve"> </w:t>
      </w:r>
      <w:r>
        <w:t xml:space="preserve">wird in die Sprache der topologischen Modallogik übersetzt. Der Grenzwertoperator</w:t>
      </w:r>
      <w:r>
        <w:t xml:space="preserve"> </w:t>
      </w:r>
      <m:oMath>
        <m:r>
          <m:rPr>
            <m:scr m:val="script"/>
            <m:sty m:val="p"/>
          </m:rPr>
          <m:t>L</m:t>
        </m:r>
      </m:oMath>
      <w:r>
        <w:t xml:space="preserve"> </w:t>
      </w:r>
      <w:r>
        <w:t xml:space="preserve">mit Nachbarschaftssemantik leistet diese Übersetzung.</w:t>
      </w:r>
    </w:p>
    <w:p>
      <w:pPr>
        <w:pStyle w:val="BodyText"/>
      </w:pPr>
      <w:r>
        <w:rPr>
          <w:b/>
          <w:bCs/>
        </w:rPr>
        <w:t xml:space="preserve">Modal 9 – Zwei Perspektiven, ein Grenzwert.</w:t>
      </w:r>
      <w:r>
        <w:t xml:space="preserve"> </w:t>
      </w:r>
      <w:r>
        <w:t xml:space="preserve">DeLillo (Kopenhagen) und Van Dormael (MWI) sind bimodal nicht vereinbar, aber gleichzeitig wahr. Der Omega-Punkt ist ein Fixpunkt — ein Verhältnis, kein Zustand.</w:t>
      </w:r>
    </w:p>
    <w:p>
      <w:pPr>
        <w:pStyle w:val="BodyText"/>
      </w:pPr>
      <w:r>
        <w:rPr>
          <w:b/>
          <w:bCs/>
        </w:rPr>
        <w:t xml:space="preserve">Modal 10 – Unitarität als Theorem.</w:t>
      </w:r>
      <w:r>
        <w:t xml:space="preserve"> </w:t>
      </w:r>
      <w:r>
        <w:t xml:space="preserve">Die Auferstehung folgt aus drei schwachen Prinzipien U1–U3. Die Unitarität ist die Struktur der Totalität</w:t>
      </w:r>
      <w:r>
        <w:t xml:space="preserve"> </w:t>
      </w:r>
      <m:oMath>
        <m:r>
          <m:t>T</m:t>
        </m:r>
      </m:oMath>
      <w:r>
        <w:t xml:space="preserve"> </w:t>
      </w:r>
      <w:r>
        <w:t xml:space="preserve">selbst:</w:t>
      </w:r>
      <w:r>
        <w:t xml:space="preserve"> </w:t>
      </w:r>
      <m:oMath>
        <m:r>
          <m:rPr>
            <m:sty m:val="p"/>
          </m:rPr>
          <m:t>∀</m:t>
        </m:r>
        <m:r>
          <m:t>γ</m:t>
        </m:r>
        <m:r>
          <m:rPr>
            <m:sty m:val="p"/>
          </m:rPr>
          <m:t>⊆</m:t>
        </m:r>
        <m:r>
          <m:t>T</m:t>
        </m:r>
        <m:r>
          <m:rPr>
            <m:sty m:val="p"/>
          </m:rPr>
          <m:t>:</m:t>
        </m:r>
        <m:r>
          <m:t>γ</m:t>
        </m:r>
        <m:r>
          <m:rPr>
            <m:sty m:val="p"/>
          </m:rPr>
          <m:t>∈</m:t>
        </m:r>
        <m:r>
          <m:t>T</m:t>
        </m:r>
      </m:oMath>
      <w:r>
        <w:t xml:space="preserve">.</w:t>
      </w:r>
    </w:p>
    <w:p>
      <w:pPr>
        <w:pStyle w:val="BodyText"/>
      </w:pPr>
      <w:r>
        <w:rPr>
          <w:b/>
          <w:bCs/>
        </w:rPr>
        <w:t xml:space="preserve">Modal 11 – Zeitlosigkeit und Gegenwart.</w:t>
      </w:r>
      <w:r>
        <w:t xml:space="preserve"> </w:t>
      </w:r>
      <w:r>
        <w:t xml:space="preserve">Die vier Zeitmodi</w:t>
      </w:r>
      <w:r>
        <w:t xml:space="preserve"> </w:t>
      </w:r>
      <m:oMath>
        <m:r>
          <m:t>P</m:t>
        </m:r>
      </m:oMath>
      <w:r>
        <w:t xml:space="preserve">,</w:t>
      </w:r>
      <w:r>
        <w:t xml:space="preserve"> </w:t>
      </w:r>
      <m:oMath>
        <m:r>
          <m:t>F</m:t>
        </m:r>
      </m:oMath>
      <w:r>
        <w:t xml:space="preserve">,</w:t>
      </w:r>
      <w:r>
        <w:t xml:space="preserve"> </w:t>
      </w:r>
      <m:oMath>
        <m:r>
          <m:t>N</m:t>
        </m:r>
      </m:oMath>
      <w:r>
        <w:t xml:space="preserve">,</w:t>
      </w:r>
      <w:r>
        <w:t xml:space="preserve"> </w:t>
      </w:r>
      <m:oMath>
        <m:r>
          <m:t>Z</m:t>
        </m:r>
      </m:oMath>
      <w:r>
        <w:t xml:space="preserve"> </w:t>
      </w:r>
      <w:r>
        <w:t xml:space="preserve">formalisieren die Unterscheidung zwischen Vergangenheit, Zukunft, Gegenwart und Zeitlosigkeit. Die Trinität ist zeitlos und gegenwärtig.</w:t>
      </w:r>
    </w:p>
    <w:p>
      <w:pPr>
        <w:pStyle w:val="BodyText"/>
      </w:pPr>
      <w:r>
        <w:rPr>
          <w:b/>
          <w:bCs/>
        </w:rPr>
        <w:t xml:space="preserve">Modal 12 – Das Böse als Weg zum Guten.</w:t>
      </w:r>
      <w:r>
        <w:t xml:space="preserve"> </w:t>
      </w:r>
      <w:r>
        <w:t xml:space="preserve">Die Trinität ist die einzige Grenzwertstruktur (folgt aus A1). Das Böse ist kein zweiter Grenzwert, sondern die unvermeidliche Evolution zum Guten.</w:t>
      </w:r>
    </w:p>
    <w:p>
      <w:pPr>
        <w:pStyle w:val="BodyText"/>
      </w:pPr>
      <w:r>
        <w:rPr>
          <w:b/>
          <w:bCs/>
        </w:rPr>
        <w:t xml:space="preserve">Modal 13 – Der Beobachter in zwei Deutungen.</w:t>
      </w:r>
      <w:r>
        <w:t xml:space="preserve"> </w:t>
      </w:r>
      <w:r>
        <w:t xml:space="preserve">Zwei Beobachter-Operatoren</w:t>
      </w:r>
      <w:r>
        <w:t xml:space="preserve"> </w:t>
      </w:r>
      <m:oMath>
        <m:sSub>
          <m:e>
            <m:r>
              <m:rPr>
                <m:scr m:val="script"/>
                <m:sty m:val="p"/>
              </m:rPr>
              <m:t>B</m:t>
            </m:r>
          </m:e>
          <m:sub>
            <m:r>
              <m:t>D</m:t>
            </m:r>
          </m:sub>
        </m:sSub>
      </m:oMath>
      <w:r>
        <w:t xml:space="preserve"> </w:t>
      </w:r>
      <w:r>
        <w:t xml:space="preserve">(konstitutiv) und</w:t>
      </w:r>
      <w:r>
        <w:t xml:space="preserve"> </w:t>
      </w:r>
      <m:oMath>
        <m:sSub>
          <m:e>
            <m:r>
              <m:rPr>
                <m:scr m:val="script"/>
                <m:sty m:val="p"/>
              </m:rPr>
              <m:t>B</m:t>
            </m:r>
          </m:e>
          <m:sub>
            <m:r>
              <m:t>V</m:t>
            </m:r>
          </m:sub>
        </m:sSub>
      </m:oMath>
      <w:r>
        <w:t xml:space="preserve"> </w:t>
      </w:r>
      <w:r>
        <w:t xml:space="preserve">(nicht-konstitutiv). Beide führen zur Trinität — aus verschiedenen Gründen.</w:t>
      </w:r>
    </w:p>
    <w:p>
      <w:pPr>
        <w:pStyle w:val="BodyText"/>
      </w:pPr>
      <w:r>
        <w:rPr>
          <w:b/>
          <w:bCs/>
        </w:rPr>
        <w:t xml:space="preserve">Modal 14 – Die Einheit der Perspektiven.</w:t>
      </w:r>
      <w:r>
        <w:t xml:space="preserve"> </w:t>
      </w:r>
      <w:r>
        <w:t xml:space="preserve">Die Einheit</w:t>
      </w:r>
      <w:r>
        <w:t xml:space="preserve"> </w:t>
      </w:r>
      <m:oMath>
        <m:r>
          <m:t>K</m:t>
        </m:r>
        <m:r>
          <m:rPr>
            <m:sty m:val="p"/>
          </m:rPr>
          <m:t>(</m:t>
        </m:r>
        <m:r>
          <m:t>U</m:t>
        </m:r>
        <m:r>
          <m:rPr>
            <m:sty m:val="p"/>
          </m:rPr>
          <m:t>,</m:t>
        </m:r>
        <m:r>
          <m:t>T</m:t>
        </m:r>
        <m:r>
          <m:rPr>
            <m:sty m:val="p"/>
          </m:rPr>
          <m:t>,</m:t>
        </m:r>
        <m:r>
          <m:t>S</m:t>
        </m:r>
        <m:r>
          <m:rPr>
            <m:sty m:val="p"/>
          </m:rPr>
          <m:t>)</m:t>
        </m:r>
      </m:oMath>
      <w:r>
        <w:t xml:space="preserve"> </w:t>
      </w:r>
      <w:r>
        <w:t xml:space="preserve">folgt direkt aus A1. Sie ist konstitutiv, nicht gestiftet. Der Beobachter ist nicht der Stifter der Einheit, sondern ihr Zeuge.</w:t>
      </w:r>
    </w:p>
    <w:p>
      <w:pPr>
        <w:pStyle w:val="BodyText"/>
      </w:pPr>
      <w:r>
        <w:rPr>
          <w:b/>
          <w:bCs/>
        </w:rPr>
        <w:t xml:space="preserve">Modal 15 – Die Grenze des Formalen.</w:t>
      </w:r>
      <w:r>
        <w:t xml:space="preserve"> </w:t>
      </w:r>
      <w:r>
        <w:t xml:space="preserve">Die Modallogik kann die Notwendigkeit der Trinität unter Annahmen beweisen, aber sie kann die Wahl der Annahmen nicht rechtfertigen. Drei Ebenen: Beweisen, Nahelegen, Nicht-Erreichen.</w:t>
      </w:r>
    </w:p>
    <w:p>
      <w:pPr>
        <w:pStyle w:val="BodyText"/>
      </w:pPr>
      <w:r>
        <w:rPr>
          <w:b/>
          <w:bCs/>
        </w:rPr>
        <w:t xml:space="preserve">Modal 16 – Wege ohne Omega-Punkt.</w:t>
      </w:r>
      <w:r>
        <w:t xml:space="preserve"> </w:t>
      </w:r>
      <w:r>
        <w:t xml:space="preserve">Wege mit Bewusstsein, die nicht zum Omega-Punkt gelangen, sind strukturell integriert. Die Integration ist kein Ereignis, sondern die Form von</w:t>
      </w:r>
      <w:r>
        <w:t xml:space="preserve"> </w:t>
      </w:r>
      <m:oMath>
        <m:r>
          <m:t>T</m:t>
        </m:r>
      </m:oMath>
      <w:r>
        <w:t xml:space="preserve">.</w:t>
      </w:r>
    </w:p>
    <w:bookmarkEnd w:id="9"/>
    <w:bookmarkStart w:id="10" w:name="Xcb92288cc099545ad659fc5286c3073e8fa0738"/>
    <w:p>
      <w:pPr>
        <w:pStyle w:val="Heading2"/>
      </w:pPr>
      <w:r>
        <w:t xml:space="preserve">Die metalogischen Resultate in einer Tabelle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Modal</w:t>
            </w:r>
          </w:p>
        </w:tc>
        <w:tc>
          <w:tcPr/>
          <w:p>
            <w:pPr>
              <w:pStyle w:val="Compact"/>
            </w:pPr>
            <w:r>
              <w:t xml:space="preserve">Resultat</w:t>
            </w:r>
          </w:p>
        </w:tc>
      </w:tr>
      <w:tr>
        <w:tc>
          <w:tcPr/>
          <w:p>
            <w:pPr>
              <w:pStyle w:val="Compact"/>
            </w:pPr>
            <w:r>
              <w:t xml:space="preserve">5</w:t>
            </w:r>
          </w:p>
        </w:tc>
        <w:tc>
          <w:tcPr/>
          <w:p>
            <w:pPr>
              <w:pStyle w:val="Compact"/>
            </w:pPr>
            <m:oMath>
              <m:r>
                <m:t>S</m:t>
              </m:r>
              <m:r>
                <m:t>5</m:t>
              </m:r>
              <m:box>
                <m:boxPr>
                  <m:opEmu m:val="on"/>
                </m:boxPr>
                <m:e>
                  <m:r>
                    <m:rPr>
                      <m:sty m:val="p"/>
                    </m:rPr>
                    <m:t>⊬</m:t>
                  </m:r>
                </m:e>
              </m:box>
              <m:r>
                <m:rPr>
                  <m:sty m:val="p"/>
                </m:rPr>
                <m:t>□</m:t>
              </m:r>
              <m:r>
                <m:rPr>
                  <m:sty m:val="p"/>
                </m:rPr>
                <m:t>∀</m:t>
              </m:r>
              <m:r>
                <m:t>x</m:t>
              </m:r>
              <m:r>
                <m:t> </m:t>
              </m:r>
              <m:r>
                <m:t>T</m:t>
              </m:r>
              <m:r>
                <m:t>r</m:t>
              </m:r>
              <m:r>
                <m:rPr>
                  <m:sty m:val="p"/>
                </m:rPr>
                <m:t>(</m:t>
              </m:r>
              <m:r>
                <m:t>x</m:t>
              </m:r>
              <m:r>
                <m:rPr>
                  <m:sty m:val="p"/>
                </m:rPr>
                <m:t>)</m:t>
              </m:r>
            </m:oMath>
            <w:r>
              <w:t xml:space="preserve">;</w:t>
            </w:r>
            <w:r>
              <w:t xml:space="preserve"> </w:t>
            </w:r>
            <m:oMath>
              <m:r>
                <m:t>S</m:t>
              </m:r>
              <m:r>
                <m:t>5</m:t>
              </m:r>
              <m:r>
                <m:rPr>
                  <m:sty m:val="p"/>
                </m:rPr>
                <m:t>+</m:t>
              </m:r>
              <m:r>
                <m:t>S</m:t>
              </m:r>
              <m:r>
                <m:t>P</m:t>
              </m:r>
              <m:r>
                <m:rPr>
                  <m:sty m:val="p"/>
                </m:rPr>
                <m:t>⊢</m:t>
              </m:r>
              <m:r>
                <m:rPr>
                  <m:sty m:val="p"/>
                </m:rPr>
                <m:t>□</m:t>
              </m:r>
              <m:r>
                <m:rPr>
                  <m:sty m:val="p"/>
                </m:rPr>
                <m:t>∀</m:t>
              </m:r>
              <m:r>
                <m:t>x</m:t>
              </m:r>
              <m:r>
                <m:t> </m:t>
              </m:r>
              <m:r>
                <m:t>T</m:t>
              </m:r>
              <m:r>
                <m:t>r</m:t>
              </m:r>
              <m:r>
                <m:rPr>
                  <m:sty m:val="p"/>
                </m:rPr>
                <m:t>(</m:t>
              </m:r>
              <m:r>
                <m:t>x</m:t>
              </m:r>
              <m:r>
                <m:rPr>
                  <m:sty m:val="p"/>
                </m:rPr>
                <m:t>)</m:t>
              </m:r>
            </m:oMath>
          </w:p>
        </w:tc>
      </w:tr>
      <w:tr>
        <w:tc>
          <w:tcPr/>
          <w:p>
            <w:pPr>
              <w:pStyle w:val="Compact"/>
            </w:pPr>
            <w:r>
              <w:t xml:space="preserve">6</w:t>
            </w:r>
          </w:p>
        </w:tc>
        <w:tc>
          <w:tcPr/>
          <w:p>
            <w:pPr>
              <w:pStyle w:val="Compact"/>
            </w:pPr>
            <m:oMath>
              <m:r>
                <m:rPr>
                  <m:sty m:val="p"/>
                </m:rPr>
                <m:t>{</m:t>
              </m:r>
              <m:r>
                <m:t>A</m:t>
              </m:r>
              <m:r>
                <m:t>S</m:t>
              </m:r>
              <m:r>
                <m:t>P</m:t>
              </m:r>
              <m:r>
                <m:t>2</m:t>
              </m:r>
              <m:r>
                <m:rPr>
                  <m:sty m:val="p"/>
                </m:rPr>
                <m:t>}</m:t>
              </m:r>
              <m:r>
                <m:rPr>
                  <m:sty m:val="p"/>
                </m:rPr>
                <m:t>⊢</m:t>
              </m:r>
              <m:r>
                <m:t>A</m:t>
              </m:r>
              <m:r>
                <m:t>S</m:t>
              </m:r>
              <m:r>
                <m:t>P</m:t>
              </m:r>
              <m:r>
                <m:t>1</m:t>
              </m:r>
            </m:oMath>
            <w:r>
              <w:t xml:space="preserve">;</w:t>
            </w:r>
            <w:r>
              <w:t xml:space="preserve"> </w:t>
            </w:r>
            <m:oMath>
              <m:r>
                <m:rPr>
                  <m:sty m:val="p"/>
                </m:rPr>
                <m:t>{</m:t>
              </m:r>
              <m:r>
                <m:t>A</m:t>
              </m:r>
              <m:r>
                <m:t>S</m:t>
              </m:r>
              <m:r>
                <m:t>P</m:t>
              </m:r>
              <m:r>
                <m:t>3</m:t>
              </m:r>
              <m:r>
                <m:rPr>
                  <m:sty m:val="p"/>
                </m:rPr>
                <m:t>,</m:t>
              </m:r>
              <m:r>
                <m:t>A</m:t>
              </m:r>
              <m:r>
                <m:t>S</m:t>
              </m:r>
              <m:r>
                <m:t>P</m:t>
              </m:r>
              <m:r>
                <m:t>4</m:t>
              </m:r>
              <m:r>
                <m:rPr>
                  <m:sty m:val="p"/>
                </m:rPr>
                <m:t>,</m:t>
              </m:r>
              <m:r>
                <m:t>A</m:t>
              </m:r>
              <m:r>
                <m:t>S</m:t>
              </m:r>
              <m:r>
                <m:t>P</m:t>
              </m:r>
              <m:r>
                <m:t>5</m:t>
              </m:r>
              <m:r>
                <m:rPr>
                  <m:sty m:val="p"/>
                </m:rPr>
                <m:t>}</m:t>
              </m:r>
            </m:oMath>
            <w:r>
              <w:t xml:space="preserve"> </w:t>
            </w:r>
            <w:r>
              <w:t xml:space="preserve">minimal</w:t>
            </w:r>
          </w:p>
        </w:tc>
      </w:tr>
      <w:tr>
        <w:tc>
          <w:tcPr/>
          <w:p>
            <w:pPr>
              <w:pStyle w:val="Compact"/>
            </w:pPr>
            <w:r>
              <w:t xml:space="preserve">7</w:t>
            </w:r>
          </w:p>
        </w:tc>
        <w:tc>
          <w:tcPr/>
          <w:p>
            <w:pPr>
              <w:pStyle w:val="Compact"/>
            </w:pPr>
            <m:oMath>
              <m:r>
                <m:t>S</m:t>
              </m:r>
              <m:r>
                <m:t>5</m:t>
              </m:r>
              <m:r>
                <m:rPr>
                  <m:sty m:val="p"/>
                </m:rPr>
                <m:t>+</m:t>
              </m:r>
              <m:r>
                <m:t>T</m:t>
              </m:r>
              <m:r>
                <m:t>O</m:t>
              </m:r>
              <m:r>
                <m:t>P</m:t>
              </m:r>
              <m:r>
                <m:rPr>
                  <m:sty m:val="p"/>
                </m:rPr>
                <m:t>,</m:t>
              </m:r>
              <m:r>
                <m:t>S</m:t>
              </m:r>
              <m:r>
                <m:t>5</m:t>
              </m:r>
              <m:r>
                <m:rPr>
                  <m:sty m:val="p"/>
                </m:rPr>
                <m:t>+</m:t>
              </m:r>
              <m:r>
                <m:t>T</m:t>
              </m:r>
              <m:r>
                <m:t>E</m:t>
              </m:r>
              <m:r>
                <m:t>M</m:t>
              </m:r>
              <m:r>
                <m:t>P</m:t>
              </m:r>
              <m:r>
                <m:rPr>
                  <m:sty m:val="p"/>
                </m:rPr>
                <m:t>,</m:t>
              </m:r>
              <m:r>
                <m:t>S</m:t>
              </m:r>
              <m:r>
                <m:t>5</m:t>
              </m:r>
              <m:r>
                <m:rPr>
                  <m:sty m:val="p"/>
                </m:rPr>
                <m:t>+</m:t>
              </m:r>
              <m:r>
                <m:t>M</m:t>
              </m:r>
              <m:r>
                <m:t>E</m:t>
              </m:r>
              <m:r>
                <m:t>R</m:t>
              </m:r>
              <m:r>
                <m:rPr>
                  <m:sty m:val="p"/>
                </m:rPr>
                <m:t>⊢</m:t>
              </m:r>
              <m:r>
                <m:rPr>
                  <m:sty m:val="p"/>
                </m:rPr>
                <m:t>□</m:t>
              </m:r>
              <m:r>
                <m:rPr>
                  <m:sty m:val="p"/>
                </m:rPr>
                <m:t>∀</m:t>
              </m:r>
              <m:r>
                <m:t>x</m:t>
              </m:r>
              <m:r>
                <m:t> </m:t>
              </m:r>
              <m:r>
                <m:t>T</m:t>
              </m:r>
              <m:r>
                <m:t>r</m:t>
              </m:r>
              <m:r>
                <m:rPr>
                  <m:sty m:val="p"/>
                </m:rPr>
                <m:t>(</m:t>
              </m:r>
              <m:r>
                <m:t>x</m:t>
              </m:r>
              <m:r>
                <m:rPr>
                  <m:sty m:val="p"/>
                </m:rPr>
                <m:t>)</m:t>
              </m:r>
            </m:oMath>
          </w:p>
        </w:tc>
      </w:tr>
      <w:tr>
        <w:tc>
          <w:tcPr/>
          <w:p>
            <w:pPr>
              <w:pStyle w:val="Compact"/>
            </w:pPr>
            <w:r>
              <w:t xml:space="preserve">8</w:t>
            </w:r>
          </w:p>
        </w:tc>
        <w:tc>
          <w:tcPr/>
          <w:p>
            <w:pPr>
              <w:pStyle w:val="Compact"/>
            </w:pPr>
            <m:oMath>
              <m:r>
                <m:t>S</m:t>
              </m:r>
              <m:r>
                <m:t>5</m:t>
              </m:r>
              <m:r>
                <m:rPr>
                  <m:sty m:val="p"/>
                </m:rPr>
                <m:t>+</m:t>
              </m:r>
              <m:r>
                <m:t>S</m:t>
              </m:r>
              <m:r>
                <m:t>P</m:t>
              </m:r>
              <m:r>
                <m:rPr>
                  <m:sty m:val="p"/>
                </m:rPr>
                <m:t>+</m:t>
              </m:r>
              <m:r>
                <m:t>L</m:t>
              </m:r>
              <m:r>
                <m:rPr>
                  <m:sty m:val="p"/>
                </m:rPr>
                <m:t>⊢</m:t>
              </m:r>
              <m:r>
                <m:rPr>
                  <m:sty m:val="p"/>
                </m:rPr>
                <m:t>□</m:t>
              </m:r>
              <m:r>
                <m:rPr>
                  <m:sty m:val="p"/>
                </m:rPr>
                <m:t>(</m:t>
              </m:r>
              <m:r>
                <m:t>U</m:t>
              </m:r>
              <m:r>
                <m:rPr>
                  <m:sty m:val="p"/>
                </m:rPr>
                <m:t>∧</m:t>
              </m:r>
              <m:r>
                <m:t>T</m:t>
              </m:r>
              <m:r>
                <m:rPr>
                  <m:sty m:val="p"/>
                </m:rPr>
                <m:t>∧</m:t>
              </m:r>
              <m:r>
                <m:t>S</m:t>
              </m:r>
              <m:r>
                <m:rPr>
                  <m:sty m:val="p"/>
                </m:rPr>
                <m:t>)</m:t>
              </m:r>
            </m:oMath>
          </w:p>
        </w:tc>
      </w:tr>
      <w:tr>
        <w:tc>
          <w:tcPr/>
          <w:p>
            <w:pPr>
              <w:pStyle w:val="Compact"/>
            </w:pPr>
            <w:r>
              <w:t xml:space="preserve">9</w:t>
            </w:r>
          </w:p>
        </w:tc>
        <w:tc>
          <w:tcPr/>
          <w:p>
            <w:pPr>
              <w:pStyle w:val="Compact"/>
            </w:pPr>
            <w:r>
              <w:t xml:space="preserve">Konsistente bimodale Modelle mit</w:t>
            </w:r>
            <w:r>
              <w:t xml:space="preserve"> </w:t>
            </w:r>
            <m:oMath>
              <m:r>
                <m:rPr>
                  <m:sty m:val="p"/>
                </m:rPr>
                <m:t>Ω</m:t>
              </m:r>
              <m:r>
                <m:rPr>
                  <m:sty m:val="p"/>
                </m:rPr>
                <m:t>≠</m:t>
              </m:r>
              <m:r>
                <m:rPr>
                  <m:sty m:val="p"/>
                </m:rPr>
                <m:t>∅</m:t>
              </m:r>
            </m:oMath>
          </w:p>
        </w:tc>
      </w:tr>
      <w:tr>
        <w:tc>
          <w:tcPr/>
          <w:p>
            <w:pPr>
              <w:pStyle w:val="Compact"/>
            </w:pPr>
            <w:r>
              <w:t xml:space="preserve">10</w:t>
            </w:r>
          </w:p>
        </w:tc>
        <w:tc>
          <w:tcPr/>
          <w:p>
            <w:pPr>
              <w:pStyle w:val="Compact"/>
            </w:pPr>
            <m:oMath>
              <m:r>
                <m:t>S</m:t>
              </m:r>
              <m:r>
                <m:t>5</m:t>
              </m:r>
              <m:r>
                <m:rPr>
                  <m:sty m:val="p"/>
                </m:rPr>
                <m:t>+</m:t>
              </m:r>
              <m:r>
                <m:t>U</m:t>
              </m:r>
              <m:r>
                <m:t>1</m:t>
              </m:r>
              <m:r>
                <m:rPr>
                  <m:sty m:val="p"/>
                </m:rPr>
                <m:t>+</m:t>
              </m:r>
              <m:r>
                <m:t>U</m:t>
              </m:r>
              <m:r>
                <m:t>2</m:t>
              </m:r>
              <m:r>
                <m:rPr>
                  <m:sty m:val="p"/>
                </m:rPr>
                <m:t>+</m:t>
              </m:r>
              <m:r>
                <m:t>U</m:t>
              </m:r>
              <m:r>
                <m:t>3</m:t>
              </m:r>
              <m:r>
                <m:rPr>
                  <m:sty m:val="p"/>
                </m:rPr>
                <m:t>⊢</m:t>
              </m:r>
            </m:oMath>
            <w:r>
              <w:t xml:space="preserve"> </w:t>
            </w:r>
            <w:r>
              <w:t xml:space="preserve">Auferstehung</w:t>
            </w:r>
          </w:p>
        </w:tc>
      </w:tr>
      <w:tr>
        <w:tc>
          <w:tcPr/>
          <w:p>
            <w:pPr>
              <w:pStyle w:val="Compact"/>
            </w:pPr>
            <w:r>
              <w:t xml:space="preserve">11</w:t>
            </w:r>
          </w:p>
        </w:tc>
        <w:tc>
          <w:tcPr/>
          <w:p>
            <w:pPr>
              <w:pStyle w:val="Compact"/>
            </w:pPr>
            <m:oMath>
              <m:r>
                <m:t>S</m:t>
              </m:r>
              <m:r>
                <m:t>5</m:t>
              </m:r>
              <m:r>
                <m:rPr>
                  <m:sty m:val="p"/>
                </m:rPr>
                <m:t>+</m:t>
              </m:r>
              <m:r>
                <m:t>T</m:t>
              </m:r>
              <m:r>
                <m:t>1</m:t>
              </m:r>
              <m:r>
                <m:rPr>
                  <m:sty m:val="p"/>
                </m:rPr>
                <m:t>+</m:t>
              </m:r>
              <m:r>
                <m:t>T</m:t>
              </m:r>
              <m:r>
                <m:t>2</m:t>
              </m:r>
              <m:r>
                <m:rPr>
                  <m:sty m:val="p"/>
                </m:rPr>
                <m:t>+</m:t>
              </m:r>
              <m:r>
                <m:t>T</m:t>
              </m:r>
              <m:r>
                <m:t>3</m:t>
              </m:r>
              <m:r>
                <m:rPr>
                  <m:sty m:val="p"/>
                </m:rPr>
                <m:t>+</m:t>
              </m:r>
              <m:r>
                <m:t>T</m:t>
              </m:r>
              <m:r>
                <m:t>4</m:t>
              </m:r>
              <m:r>
                <m:rPr>
                  <m:sty m:val="p"/>
                </m:rPr>
                <m:t>⊢</m:t>
              </m:r>
              <m:r>
                <m:rPr>
                  <m:sty m:val="p"/>
                </m:rPr>
                <m:t>□</m:t>
              </m:r>
              <m:r>
                <m:rPr>
                  <m:sty m:val="p"/>
                </m:rPr>
                <m:t>(</m:t>
              </m:r>
              <m:r>
                <m:t>Z</m:t>
              </m:r>
              <m:r>
                <m:rPr>
                  <m:sty m:val="p"/>
                </m:rPr>
                <m:t>(</m:t>
              </m:r>
              <m:r>
                <m:t>U</m:t>
              </m:r>
              <m:r>
                <m:rPr>
                  <m:sty m:val="p"/>
                </m:rPr>
                <m:t>∧</m:t>
              </m:r>
              <m:r>
                <m:t>T</m:t>
              </m:r>
              <m:r>
                <m:rPr>
                  <m:sty m:val="p"/>
                </m:rPr>
                <m:t>∧</m:t>
              </m:r>
              <m:r>
                <m:t>S</m:t>
              </m:r>
              <m:r>
                <m:rPr>
                  <m:sty m:val="p"/>
                </m:rPr>
                <m:t>)</m:t>
              </m:r>
              <m:r>
                <m:rPr>
                  <m:sty m:val="p"/>
                </m:rPr>
                <m:t>∧</m:t>
              </m:r>
              <m:r>
                <m:t>N</m:t>
              </m:r>
              <m:r>
                <m:rPr>
                  <m:sty m:val="p"/>
                </m:rPr>
                <m:t>(</m:t>
              </m:r>
              <m:r>
                <m:t>U</m:t>
              </m:r>
              <m:r>
                <m:rPr>
                  <m:sty m:val="p"/>
                </m:rPr>
                <m:t>∧</m:t>
              </m:r>
              <m:r>
                <m:t>T</m:t>
              </m:r>
              <m:r>
                <m:rPr>
                  <m:sty m:val="p"/>
                </m:rPr>
                <m:t>∧</m:t>
              </m:r>
              <m:r>
                <m:t>S</m:t>
              </m:r>
              <m:r>
                <m:rPr>
                  <m:sty m:val="p"/>
                </m:rPr>
                <m:t>)</m:t>
              </m:r>
              <m:r>
                <m:rPr>
                  <m:sty m:val="p"/>
                </m:rPr>
                <m:t>)</m:t>
              </m:r>
            </m:oMath>
          </w:p>
        </w:tc>
      </w:tr>
      <w:tr>
        <w:tc>
          <w:tcPr/>
          <w:p>
            <w:pPr>
              <w:pStyle w:val="Compact"/>
            </w:pPr>
            <w:r>
              <w:t xml:space="preserve">12</w:t>
            </w:r>
          </w:p>
        </w:tc>
        <w:tc>
          <w:tcPr/>
          <w:p>
            <w:pPr>
              <w:pStyle w:val="Compact"/>
            </w:pPr>
            <m:oMath>
              <m:r>
                <m:t>S</m:t>
              </m:r>
              <m:r>
                <m:t>5</m:t>
              </m:r>
              <m:r>
                <m:rPr>
                  <m:sty m:val="p"/>
                </m:rPr>
                <m:t>+</m:t>
              </m:r>
              <m:r>
                <m:t>A</m:t>
              </m:r>
              <m:r>
                <m:t>1</m:t>
              </m:r>
              <m:r>
                <m:rPr>
                  <m:sty m:val="p"/>
                </m:rPr>
                <m:t>⊢</m:t>
              </m:r>
            </m:oMath>
            <w:r>
              <w:t xml:space="preserve"> </w:t>
            </w:r>
            <w:r>
              <w:t xml:space="preserve">Das Böse ist kein Grenzwert</w:t>
            </w:r>
          </w:p>
        </w:tc>
      </w:tr>
      <w:tr>
        <w:tc>
          <w:tcPr/>
          <w:p>
            <w:pPr>
              <w:pStyle w:val="Compact"/>
            </w:pPr>
            <w:r>
              <w:t xml:space="preserve">13</w:t>
            </w:r>
          </w:p>
        </w:tc>
        <w:tc>
          <w:tcPr/>
          <w:p>
            <w:pPr>
              <w:pStyle w:val="Compact"/>
            </w:pPr>
            <m:oMath>
              <m:r>
                <m:t>S</m:t>
              </m:r>
              <m:r>
                <m:t>5</m:t>
              </m:r>
              <m:r>
                <m:rPr>
                  <m:sty m:val="p"/>
                </m:rPr>
                <m:t>+</m:t>
              </m:r>
              <m:r>
                <m:t>S</m:t>
              </m:r>
              <m:r>
                <m:t>P</m:t>
              </m:r>
              <m:r>
                <m:rPr>
                  <m:sty m:val="p"/>
                </m:rPr>
                <m:t>+</m:t>
              </m:r>
              <m:r>
                <m:t>B</m:t>
              </m:r>
              <m:r>
                <m:t>1</m:t>
              </m:r>
              <m:r>
                <m:rPr>
                  <m:sty m:val="p"/>
                </m:rPr>
                <m:t>+</m:t>
              </m:r>
              <m:r>
                <m:t>B</m:t>
              </m:r>
              <m:r>
                <m:t>2</m:t>
              </m:r>
              <m:r>
                <m:rPr>
                  <m:sty m:val="p"/>
                </m:rPr>
                <m:t>+</m:t>
              </m:r>
              <m:r>
                <m:t>B</m:t>
              </m:r>
              <m:r>
                <m:t>3</m:t>
              </m:r>
              <m:r>
                <m:rPr>
                  <m:sty m:val="p"/>
                </m:rPr>
                <m:t>+</m:t>
              </m:r>
              <m:r>
                <m:t>B</m:t>
              </m:r>
              <m:r>
                <m:t>4</m:t>
              </m:r>
              <m:r>
                <m:rPr>
                  <m:sty m:val="p"/>
                </m:rPr>
                <m:t>⊢</m:t>
              </m:r>
              <m:r>
                <m:rPr>
                  <m:sty m:val="p"/>
                </m:rPr>
                <m:t>□</m:t>
              </m:r>
              <m:r>
                <m:rPr>
                  <m:sty m:val="p"/>
                </m:rPr>
                <m:t>(</m:t>
              </m:r>
              <m:r>
                <m:t>U</m:t>
              </m:r>
              <m:r>
                <m:rPr>
                  <m:sty m:val="p"/>
                </m:rPr>
                <m:t>∧</m:t>
              </m:r>
              <m:r>
                <m:t>T</m:t>
              </m:r>
              <m:r>
                <m:rPr>
                  <m:sty m:val="p"/>
                </m:rPr>
                <m:t>∧</m:t>
              </m:r>
              <m:r>
                <m:t>S</m:t>
              </m:r>
              <m:r>
                <m:rPr>
                  <m:sty m:val="p"/>
                </m:rPr>
                <m:t>)</m:t>
              </m:r>
            </m:oMath>
          </w:p>
        </w:tc>
      </w:tr>
      <w:tr>
        <w:tc>
          <w:tcPr/>
          <w:p>
            <w:pPr>
              <w:pStyle w:val="Compact"/>
            </w:pPr>
            <w:r>
              <w:t xml:space="preserve">14</w:t>
            </w:r>
          </w:p>
        </w:tc>
        <w:tc>
          <w:tcPr/>
          <w:p>
            <w:pPr>
              <w:pStyle w:val="Compact"/>
            </w:pPr>
            <m:oMath>
              <m:r>
                <m:t>S</m:t>
              </m:r>
              <m:r>
                <m:t>5</m:t>
              </m:r>
              <m:r>
                <m:rPr>
                  <m:sty m:val="p"/>
                </m:rPr>
                <m:t>+</m:t>
              </m:r>
              <m:r>
                <m:t>A</m:t>
              </m:r>
              <m:r>
                <m:t>1</m:t>
              </m:r>
              <m:r>
                <m:rPr>
                  <m:sty m:val="p"/>
                </m:rPr>
                <m:t>⊢</m:t>
              </m:r>
              <m:r>
                <m:rPr>
                  <m:sty m:val="p"/>
                </m:rPr>
                <m:t>□</m:t>
              </m:r>
              <m:r>
                <m:t>K</m:t>
              </m:r>
              <m:r>
                <m:rPr>
                  <m:sty m:val="p"/>
                </m:rPr>
                <m:t>(</m:t>
              </m:r>
              <m:r>
                <m:t>U</m:t>
              </m:r>
              <m:r>
                <m:rPr>
                  <m:sty m:val="p"/>
                </m:rPr>
                <m:t>,</m:t>
              </m:r>
              <m:r>
                <m:t>T</m:t>
              </m:r>
              <m:r>
                <m:rPr>
                  <m:sty m:val="p"/>
                </m:rPr>
                <m:t>,</m:t>
              </m:r>
              <m:r>
                <m:t>S</m:t>
              </m:r>
              <m:r>
                <m:rPr>
                  <m:sty m:val="p"/>
                </m:rPr>
                <m:t>)</m:t>
              </m:r>
            </m:oMath>
          </w:p>
        </w:tc>
      </w:tr>
      <w:tr>
        <w:tc>
          <w:tcPr/>
          <w:p>
            <w:pPr>
              <w:pStyle w:val="Compact"/>
            </w:pPr>
            <w:r>
              <w:t xml:space="preserve">15</w:t>
            </w:r>
          </w:p>
        </w:tc>
        <w:tc>
          <w:tcPr/>
          <w:p>
            <w:pPr>
              <w:pStyle w:val="Compact"/>
            </w:pPr>
            <w:r>
              <w:t xml:space="preserve">Drei Ebenen: Beweisen, Nahelegen, Nicht-Erreichen</w:t>
            </w:r>
          </w:p>
        </w:tc>
      </w:tr>
      <w:tr>
        <w:tc>
          <w:tcPr/>
          <w:p>
            <w:pPr>
              <w:pStyle w:val="Compact"/>
            </w:pPr>
            <w:r>
              <w:t xml:space="preserve">16</w:t>
            </w:r>
          </w:p>
        </w:tc>
        <w:tc>
          <w:tcPr/>
          <w:p>
            <w:pPr>
              <w:pStyle w:val="Compact"/>
            </w:pPr>
            <m:oMath>
              <m:r>
                <m:rPr>
                  <m:sty m:val="p"/>
                </m:rPr>
                <m:t>∀</m:t>
              </m:r>
              <m:r>
                <m:t>γ</m:t>
              </m:r>
              <m:r>
                <m:rPr>
                  <m:sty m:val="p"/>
                </m:rPr>
                <m:t>⊆</m:t>
              </m:r>
              <m:r>
                <m:t>T</m:t>
              </m:r>
              <m:r>
                <m:rPr>
                  <m:sty m:val="p"/>
                </m:rPr>
                <m:t>:</m:t>
              </m:r>
              <m:r>
                <m:t>γ</m:t>
              </m:r>
              <m:r>
                <m:rPr>
                  <m:sty m:val="p"/>
                </m:rPr>
                <m:t>∈</m:t>
              </m:r>
              <m:r>
                <m:t>T</m:t>
              </m:r>
            </m:oMath>
          </w:p>
        </w:tc>
      </w:tr>
    </w:tbl>
    <w:bookmarkEnd w:id="10"/>
    <w:bookmarkStart w:id="11" w:name="die-struktur-der-reihe"/>
    <w:p>
      <w:pPr>
        <w:pStyle w:val="Heading2"/>
      </w:pPr>
      <w:r>
        <w:t xml:space="preserve">Die Struktur der Reihe</w:t>
      </w:r>
    </w:p>
    <w:p>
      <w:pPr>
        <w:pStyle w:val="FirstParagraph"/>
      </w:pPr>
      <w:r>
        <w:t xml:space="preserve">Die Reihe ist</w:t>
      </w:r>
      <w:r>
        <w:t xml:space="preserve"> </w:t>
      </w:r>
      <w:r>
        <w:rPr>
          <w:b/>
          <w:bCs/>
        </w:rPr>
        <w:t xml:space="preserve">keine lineare Kette</w:t>
      </w:r>
      <w:r>
        <w:t xml:space="preserve">. Sie ist ein</w:t>
      </w:r>
      <w:r>
        <w:t xml:space="preserve"> </w:t>
      </w:r>
      <w:r>
        <w:rPr>
          <w:b/>
          <w:bCs/>
        </w:rPr>
        <w:t xml:space="preserve">Geflecht</w:t>
      </w:r>
      <w:r>
        <w:t xml:space="preserve">:</w:t>
      </w:r>
    </w:p>
    <w:p>
      <w:pPr>
        <w:pStyle w:val="Compact"/>
        <w:numPr>
          <w:ilvl w:val="0"/>
          <w:numId w:val="1001"/>
        </w:numPr>
      </w:pPr>
      <w:r>
        <w:rPr>
          <w:b/>
          <w:bCs/>
        </w:rPr>
        <w:t xml:space="preserve">Modal 5</w:t>
      </w:r>
      <w:r>
        <w:t xml:space="preserve"> </w:t>
      </w:r>
      <w:r>
        <w:t xml:space="preserve">ist der Kern. Alle weiteren Module bauen darauf auf.</w:t>
      </w:r>
    </w:p>
    <w:p>
      <w:pPr>
        <w:pStyle w:val="Compact"/>
        <w:numPr>
          <w:ilvl w:val="0"/>
          <w:numId w:val="1001"/>
        </w:numPr>
      </w:pPr>
      <w:r>
        <w:rPr>
          <w:b/>
          <w:bCs/>
        </w:rPr>
        <w:t xml:space="preserve">Modal 6 und 7</w:t>
      </w:r>
      <w:r>
        <w:t xml:space="preserve"> </w:t>
      </w:r>
      <w:r>
        <w:t xml:space="preserve">klären die Axiomatik.</w:t>
      </w:r>
    </w:p>
    <w:p>
      <w:pPr>
        <w:pStyle w:val="Compact"/>
        <w:numPr>
          <w:ilvl w:val="0"/>
          <w:numId w:val="1001"/>
        </w:numPr>
      </w:pPr>
      <w:r>
        <w:rPr>
          <w:b/>
          <w:bCs/>
        </w:rPr>
        <w:t xml:space="preserve">Modal 8</w:t>
      </w:r>
      <w:r>
        <w:t xml:space="preserve"> </w:t>
      </w:r>
      <w:r>
        <w:t xml:space="preserve">präzisiert den Grenzwertbegriff.</w:t>
      </w:r>
    </w:p>
    <w:p>
      <w:pPr>
        <w:pStyle w:val="Compact"/>
        <w:numPr>
          <w:ilvl w:val="0"/>
          <w:numId w:val="1001"/>
        </w:numPr>
      </w:pPr>
      <w:r>
        <w:rPr>
          <w:b/>
          <w:bCs/>
        </w:rPr>
        <w:t xml:space="preserve">Modal 9</w:t>
      </w:r>
      <w:r>
        <w:t xml:space="preserve"> </w:t>
      </w:r>
      <w:r>
        <w:t xml:space="preserve">führt die bimodale Struktur ein.</w:t>
      </w:r>
    </w:p>
    <w:p>
      <w:pPr>
        <w:pStyle w:val="Compact"/>
        <w:numPr>
          <w:ilvl w:val="0"/>
          <w:numId w:val="1001"/>
        </w:numPr>
      </w:pPr>
      <w:r>
        <w:rPr>
          <w:b/>
          <w:bCs/>
        </w:rPr>
        <w:t xml:space="preserve">Modal 10</w:t>
      </w:r>
      <w:r>
        <w:t xml:space="preserve"> </w:t>
      </w:r>
      <w:r>
        <w:t xml:space="preserve">fundiert die Unitarität.</w:t>
      </w:r>
    </w:p>
    <w:p>
      <w:pPr>
        <w:pStyle w:val="Compact"/>
        <w:numPr>
          <w:ilvl w:val="0"/>
          <w:numId w:val="1001"/>
        </w:numPr>
      </w:pPr>
      <w:r>
        <w:rPr>
          <w:b/>
          <w:bCs/>
        </w:rPr>
        <w:t xml:space="preserve">Modal 11</w:t>
      </w:r>
      <w:r>
        <w:t xml:space="preserve"> </w:t>
      </w:r>
      <w:r>
        <w:t xml:space="preserve">fügt die Zeitdimension hinzu.</w:t>
      </w:r>
    </w:p>
    <w:p>
      <w:pPr>
        <w:pStyle w:val="Compact"/>
        <w:numPr>
          <w:ilvl w:val="0"/>
          <w:numId w:val="1001"/>
        </w:numPr>
      </w:pPr>
      <w:r>
        <w:rPr>
          <w:b/>
          <w:bCs/>
        </w:rPr>
        <w:t xml:space="preserve">Modal 12</w:t>
      </w:r>
      <w:r>
        <w:t xml:space="preserve"> </w:t>
      </w:r>
      <w:r>
        <w:t xml:space="preserve">behandelt das Böse.</w:t>
      </w:r>
    </w:p>
    <w:p>
      <w:pPr>
        <w:pStyle w:val="Compact"/>
        <w:numPr>
          <w:ilvl w:val="0"/>
          <w:numId w:val="1001"/>
        </w:numPr>
      </w:pPr>
      <w:r>
        <w:rPr>
          <w:b/>
          <w:bCs/>
        </w:rPr>
        <w:t xml:space="preserve">Modal 13</w:t>
      </w:r>
      <w:r>
        <w:t xml:space="preserve"> </w:t>
      </w:r>
      <w:r>
        <w:t xml:space="preserve">behandelt den Beobachter.</w:t>
      </w:r>
    </w:p>
    <w:p>
      <w:pPr>
        <w:pStyle w:val="Compact"/>
        <w:numPr>
          <w:ilvl w:val="0"/>
          <w:numId w:val="1001"/>
        </w:numPr>
      </w:pPr>
      <w:r>
        <w:rPr>
          <w:b/>
          <w:bCs/>
        </w:rPr>
        <w:t xml:space="preserve">Modal 14</w:t>
      </w:r>
      <w:r>
        <w:t xml:space="preserve"> </w:t>
      </w:r>
      <w:r>
        <w:t xml:space="preserve">zieht die Einheit.</w:t>
      </w:r>
    </w:p>
    <w:p>
      <w:pPr>
        <w:pStyle w:val="Compact"/>
        <w:numPr>
          <w:ilvl w:val="0"/>
          <w:numId w:val="1001"/>
        </w:numPr>
      </w:pPr>
      <w:r>
        <w:rPr>
          <w:b/>
          <w:bCs/>
        </w:rPr>
        <w:t xml:space="preserve">Modal 15</w:t>
      </w:r>
      <w:r>
        <w:t xml:space="preserve"> </w:t>
      </w:r>
      <w:r>
        <w:t xml:space="preserve">markiert die Grenze.</w:t>
      </w:r>
    </w:p>
    <w:p>
      <w:pPr>
        <w:pStyle w:val="Compact"/>
        <w:numPr>
          <w:ilvl w:val="0"/>
          <w:numId w:val="1001"/>
        </w:numPr>
      </w:pPr>
      <w:r>
        <w:rPr>
          <w:b/>
          <w:bCs/>
        </w:rPr>
        <w:t xml:space="preserve">Modal 16</w:t>
      </w:r>
      <w:r>
        <w:t xml:space="preserve"> </w:t>
      </w:r>
      <w:r>
        <w:t xml:space="preserve">schließt die letzte offene Frage.</w:t>
      </w:r>
    </w:p>
    <w:bookmarkEnd w:id="11"/>
    <w:bookmarkEnd w:id="12"/>
    <w:bookmarkStart w:id="17" w:name="X297d0daf2678e2733f79974d6f31c9cbe8d4d95"/>
    <w:p>
      <w:pPr>
        <w:pStyle w:val="Heading1"/>
      </w:pPr>
      <w:r>
        <w:t xml:space="preserve">Was sie nicht gezeigt hat: Die methodische Grenze</w:t>
      </w:r>
    </w:p>
    <w:bookmarkStart w:id="13" w:name="die-drei-ebenen"/>
    <w:p>
      <w:pPr>
        <w:pStyle w:val="Heading2"/>
      </w:pPr>
      <w:r>
        <w:t xml:space="preserve">Die drei Ebenen</w:t>
      </w:r>
    </w:p>
    <w:p>
      <w:pPr>
        <w:pStyle w:val="FirstParagraph"/>
      </w:pPr>
      <w:r>
        <w:t xml:space="preserve">Die Reihe hat strikt zwischen drei Ebenen unterschieden: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Ebene</w:t>
            </w:r>
          </w:p>
        </w:tc>
        <w:tc>
          <w:tcPr/>
          <w:p>
            <w:pPr>
              <w:pStyle w:val="Compact"/>
            </w:pPr>
            <w:r>
              <w:t xml:space="preserve">Was</w:t>
            </w:r>
          </w:p>
        </w:tc>
        <w:tc>
          <w:tcPr/>
          <w:p>
            <w:pPr>
              <w:pStyle w:val="Compact"/>
            </w:pPr>
            <w:r>
              <w:t xml:space="preserve">Status</w:t>
            </w:r>
          </w:p>
        </w:tc>
      </w:tr>
      <w:tr>
        <w:tc>
          <w:tcPr/>
          <w:p>
            <w:pPr>
              <w:pStyle w:val="Compact"/>
            </w:pPr>
            <w:r>
              <w:rPr>
                <w:b/>
                <w:bCs/>
              </w:rPr>
              <w:t xml:space="preserve">Beweisen</w:t>
            </w:r>
          </w:p>
        </w:tc>
        <w:tc>
          <w:tcPr/>
          <w:p>
            <w:pPr>
              <w:pStyle w:val="Compact"/>
            </w:pPr>
            <w:r>
              <w:t xml:space="preserve">Ableitbare Resultate</w:t>
            </w:r>
          </w:p>
        </w:tc>
        <w:tc>
          <w:tcPr/>
          <w:p>
            <w:pPr>
              <w:pStyle w:val="Compact"/>
            </w:pPr>
            <w:r>
              <w:t xml:space="preserve">Sicher</w:t>
            </w:r>
          </w:p>
        </w:tc>
      </w:tr>
      <w:tr>
        <w:tc>
          <w:tcPr/>
          <w:p>
            <w:pPr>
              <w:pStyle w:val="Compact"/>
            </w:pPr>
            <w:r>
              <w:rPr>
                <w:b/>
                <w:bCs/>
              </w:rPr>
              <w:t xml:space="preserve">Nahelegen</w:t>
            </w:r>
          </w:p>
        </w:tc>
        <w:tc>
          <w:tcPr/>
          <w:p>
            <w:pPr>
              <w:pStyle w:val="Compact"/>
            </w:pPr>
            <w:r>
              <w:t xml:space="preserve">Plausible Interpretationen</w:t>
            </w:r>
          </w:p>
        </w:tc>
        <w:tc>
          <w:tcPr/>
          <w:p>
            <w:pPr>
              <w:pStyle w:val="Compact"/>
            </w:pPr>
            <w:r>
              <w:t xml:space="preserve">Vermutlich</w:t>
            </w:r>
          </w:p>
        </w:tc>
      </w:tr>
      <w:tr>
        <w:tc>
          <w:tcPr/>
          <w:p>
            <w:pPr>
              <w:pStyle w:val="Compact"/>
            </w:pPr>
            <w:r>
              <w:rPr>
                <w:b/>
                <w:bCs/>
              </w:rPr>
              <w:t xml:space="preserve">Nicht-Erreichen</w:t>
            </w:r>
          </w:p>
        </w:tc>
        <w:tc>
          <w:tcPr/>
          <w:p>
            <w:pPr>
              <w:pStyle w:val="Compact"/>
            </w:pPr>
            <w:r>
              <w:t xml:space="preserve">Externe Fragen</w:t>
            </w:r>
          </w:p>
        </w:tc>
        <w:tc>
          <w:tcPr/>
          <w:p>
            <w:pPr>
              <w:pStyle w:val="Compact"/>
            </w:pPr>
            <w:r>
              <w:t xml:space="preserve">Offen</w:t>
            </w:r>
          </w:p>
        </w:tc>
      </w:tr>
    </w:tbl>
    <w:bookmarkEnd w:id="13"/>
    <w:bookmarkStart w:id="14" w:name="was-die-reihe-nicht-zeigt"/>
    <w:p>
      <w:pPr>
        <w:pStyle w:val="Heading2"/>
      </w:pPr>
      <w:r>
        <w:t xml:space="preserve">Was die Reihe nicht zeigt</w:t>
      </w:r>
    </w:p>
    <w:p>
      <w:pPr>
        <w:pStyle w:val="FirstParagraph"/>
      </w:pPr>
      <w:r>
        <w:t xml:space="preserve">Die Reihe zeigt</w:t>
      </w:r>
      <w:r>
        <w:t xml:space="preserve"> </w:t>
      </w:r>
      <w:r>
        <w:rPr>
          <w:b/>
          <w:bCs/>
        </w:rPr>
        <w:t xml:space="preserve">nicht</w:t>
      </w:r>
      <w:r>
        <w:t xml:space="preserve">:</w:t>
      </w:r>
    </w:p>
    <w:p>
      <w:pPr>
        <w:pStyle w:val="Compact"/>
        <w:numPr>
          <w:ilvl w:val="0"/>
          <w:numId w:val="1002"/>
        </w:numPr>
      </w:pPr>
      <w:r>
        <w:rPr>
          <w:b/>
          <w:bCs/>
        </w:rPr>
        <w:t xml:space="preserve">Dass die Trinität existiert.</w:t>
      </w:r>
      <w:r>
        <w:t xml:space="preserve"> </w:t>
      </w:r>
      <w:r>
        <w:t xml:space="preserve">Sie zeigt nur: Unter bestimmten Annahmen folgt sie.</w:t>
      </w:r>
    </w:p>
    <w:p>
      <w:pPr>
        <w:pStyle w:val="Compact"/>
        <w:numPr>
          <w:ilvl w:val="0"/>
          <w:numId w:val="1002"/>
        </w:numPr>
      </w:pPr>
      <w:r>
        <w:rPr>
          <w:b/>
          <w:bCs/>
        </w:rPr>
        <w:t xml:space="preserve">Dass die Axiome wahr sind.</w:t>
      </w:r>
      <w:r>
        <w:t xml:space="preserve"> </w:t>
      </w:r>
      <w:r>
        <w:t xml:space="preserve">Sie zeigt nur: Sie sind konsistent und unabhängig.</w:t>
      </w:r>
    </w:p>
    <w:p>
      <w:pPr>
        <w:pStyle w:val="Compact"/>
        <w:numPr>
          <w:ilvl w:val="0"/>
          <w:numId w:val="1002"/>
        </w:numPr>
      </w:pPr>
      <w:r>
        <w:rPr>
          <w:b/>
          <w:bCs/>
        </w:rPr>
        <w:t xml:space="preserve">Dass die Wahl der Axiome gerechtfertigt ist.</w:t>
      </w:r>
      <w:r>
        <w:t xml:space="preserve"> </w:t>
      </w:r>
      <w:r>
        <w:t xml:space="preserve">Die Wahl ist metaphysisch, physikalisch oder hermeneutisch.</w:t>
      </w:r>
    </w:p>
    <w:p>
      <w:pPr>
        <w:pStyle w:val="Compact"/>
        <w:numPr>
          <w:ilvl w:val="0"/>
          <w:numId w:val="1002"/>
        </w:numPr>
      </w:pPr>
      <w:r>
        <w:rPr>
          <w:b/>
          <w:bCs/>
        </w:rPr>
        <w:t xml:space="preserve">Dass die formale Arbeit die einzige Zugangsweise ist.</w:t>
      </w:r>
      <w:r>
        <w:t xml:space="preserve"> </w:t>
      </w:r>
      <w:r>
        <w:t xml:space="preserve">Sie ist eine unter mehreren.</w:t>
      </w:r>
    </w:p>
    <w:bookmarkEnd w:id="14"/>
    <w:bookmarkStart w:id="15" w:name="die-grenze-des-formalen"/>
    <w:p>
      <w:pPr>
        <w:pStyle w:val="Heading2"/>
      </w:pPr>
      <w:r>
        <w:t xml:space="preserve">Die Grenze des Formalen</w:t>
      </w:r>
    </w:p>
    <w:p>
      <w:pPr>
        <w:pStyle w:val="FirstParagraph"/>
      </w:pPr>
      <w:r>
        <w:t xml:space="preserve">Die Grenze des Formalen ist</w:t>
      </w:r>
      <w:r>
        <w:t xml:space="preserve"> </w:t>
      </w:r>
      <w:r>
        <w:rPr>
          <w:b/>
          <w:bCs/>
        </w:rPr>
        <w:t xml:space="preserve">strukturell verwandt</w:t>
      </w:r>
      <w:r>
        <w:t xml:space="preserve"> </w:t>
      </w:r>
      <w:r>
        <w:t xml:space="preserve">mit Gödels Unvollständigkeitssätzen — nicht weil S5 unvollständig wäre (es ist vollständig), sondern weil</w:t>
      </w:r>
      <w:r>
        <w:t xml:space="preserve"> </w:t>
      </w:r>
      <w:r>
        <w:rPr>
          <w:b/>
          <w:bCs/>
        </w:rPr>
        <w:t xml:space="preserve">jedes</w:t>
      </w:r>
      <w:r>
        <w:t xml:space="preserve"> </w:t>
      </w:r>
      <w:r>
        <w:t xml:space="preserve">formale System seine eigenen Grundlagen nicht vollständig rechtfertigen kann.</w:t>
      </w:r>
    </w:p>
    <w:p>
      <w:pPr>
        <w:pStyle w:val="BodyText"/>
      </w:pPr>
      <w:r>
        <w:rPr>
          <w:b/>
          <w:bCs/>
        </w:rPr>
        <w:t xml:space="preserve">Formale Fassung:</w:t>
      </w:r>
    </w:p>
    <w:p>
      <w:pPr>
        <w:pStyle w:val="BodyText"/>
      </w:pPr>
      <m:oMathPara>
        <m:oMathParaPr>
          <m:jc m:val="center"/>
        </m:oMathParaPr>
        <m:oMath>
          <m:r>
            <m:rPr>
              <m:nor/>
              <m:sty m:val="p"/>
            </m:rPr>
            <m:t>Beweisen</m:t>
          </m:r>
          <m:r>
            <m:rPr>
              <m:sty m:val="p"/>
            </m:rPr>
            <m:t>⊏</m:t>
          </m:r>
          <m:r>
            <m:rPr>
              <m:nor/>
              <m:sty m:val="p"/>
            </m:rPr>
            <m:t>Nahelegen</m:t>
          </m:r>
          <m:r>
            <m:rPr>
              <m:sty m:val="p"/>
            </m:rPr>
            <m:t>⊏</m:t>
          </m:r>
          <m:r>
            <m:rPr>
              <m:nor/>
              <m:sty m:val="p"/>
            </m:rPr>
            <m:t>Nicht-Erreichen</m:t>
          </m:r>
        </m:oMath>
      </m:oMathPara>
    </w:p>
    <w:bookmarkEnd w:id="15"/>
    <w:bookmarkStart w:id="16" w:name="die-bescheidenheit-der-form"/>
    <w:p>
      <w:pPr>
        <w:pStyle w:val="Heading2"/>
      </w:pPr>
      <w:r>
        <w:t xml:space="preserve">Die Bescheidenheit der Form</w:t>
      </w:r>
    </w:p>
    <w:p>
      <w:pPr>
        <w:pStyle w:val="FirstParagraph"/>
      </w:pPr>
      <w:r>
        <w:t xml:space="preserve">Die Reihe ist</w:t>
      </w:r>
      <w:r>
        <w:t xml:space="preserve"> </w:t>
      </w:r>
      <w:r>
        <w:rPr>
          <w:b/>
          <w:bCs/>
        </w:rPr>
        <w:t xml:space="preserve">bescheiden</w:t>
      </w:r>
      <w:r>
        <w:t xml:space="preserve">. Sie behauptet nicht, die Wahrheit zu sein. Sie behauptet:</w:t>
      </w:r>
    </w:p>
    <w:p>
      <w:pPr>
        <w:pStyle w:val="BlockText"/>
      </w:pPr>
      <w:r>
        <w:rPr>
          <w:b/>
          <w:bCs/>
        </w:rPr>
        <w:t xml:space="preserve">Wir haben eine Landkarte gezeichnet. Die Landkarte ist nicht das Territorium.</w:t>
      </w:r>
    </w:p>
    <w:bookmarkEnd w:id="16"/>
    <w:bookmarkEnd w:id="17"/>
    <w:bookmarkStart w:id="21" w:name="der-eine-gedanke"/>
    <w:p>
      <w:pPr>
        <w:pStyle w:val="Heading1"/>
      </w:pPr>
      <w:r>
        <w:t xml:space="preserve">Der eine Gedanke</w:t>
      </w:r>
    </w:p>
    <w:bookmarkStart w:id="18" w:name="die-zentrale-formulierung"/>
    <w:p>
      <w:pPr>
        <w:pStyle w:val="Heading2"/>
      </w:pPr>
      <w:r>
        <w:t xml:space="preserve">Die zentrale Formulierung</w:t>
      </w:r>
    </w:p>
    <w:p>
      <w:pPr>
        <w:pStyle w:val="FirstParagraph"/>
      </w:pPr>
      <w:r>
        <w:t xml:space="preserve">Alle 17 Module tragen</w:t>
      </w:r>
      <w:r>
        <w:t xml:space="preserve"> </w:t>
      </w:r>
      <w:r>
        <w:rPr>
          <w:b/>
          <w:bCs/>
        </w:rPr>
        <w:t xml:space="preserve">einen</w:t>
      </w:r>
      <w:r>
        <w:t xml:space="preserve"> </w:t>
      </w:r>
      <w:r>
        <w:t xml:space="preserve">Gedanken:</w:t>
      </w:r>
    </w:p>
    <w:p>
      <w:pPr>
        <w:pStyle w:val="BlockText"/>
      </w:pPr>
      <w:r>
        <w:rPr>
          <w:b/>
          <w:bCs/>
        </w:rPr>
        <w:t xml:space="preserve">Die Trinität ist die Struktur, die alle Wege umfasst — auch die, die nicht ankommen.</w:t>
      </w:r>
    </w:p>
    <w:p>
      <w:pPr>
        <w:pStyle w:val="FirstParagraph"/>
      </w:pPr>
      <w:r>
        <w:rPr>
          <w:b/>
          <w:bCs/>
        </w:rPr>
        <w:t xml:space="preserve">Formale Fassung:</w:t>
      </w:r>
    </w:p>
    <w:p>
      <w:pPr>
        <w:pStyle w:val="BodyText"/>
      </w:pPr>
      <m:oMathPara>
        <m:oMathParaPr>
          <m:jc m:val="center"/>
        </m:oMathParaPr>
        <m:oMath>
          <m:borderBox>
            <m:e>
              <m:r>
                <m:rPr>
                  <m:sty m:val="p"/>
                </m:rPr>
                <m:t>∀</m:t>
              </m:r>
              <m:r>
                <m:t>γ</m:t>
              </m:r>
              <m:r>
                <m:rPr>
                  <m:sty m:val="p"/>
                </m:rPr>
                <m:t>⊆</m:t>
              </m:r>
              <m:r>
                <m:t>T</m:t>
              </m:r>
              <m:r>
                <m:rPr>
                  <m:sty m:val="p"/>
                </m:rPr>
                <m:t>:</m:t>
              </m:r>
              <m:r>
                <m:t>γ</m:t>
              </m:r>
              <m:r>
                <m:rPr>
                  <m:sty m:val="p"/>
                </m:rPr>
                <m:t>∈</m:t>
              </m:r>
              <m:r>
                <m:t>T</m:t>
              </m:r>
              <m:r>
                <m:rPr>
                  <m:sty m:val="p"/>
                </m:rPr>
                <m:t>∧</m:t>
              </m:r>
              <m:r>
                <m:t>T</m:t>
              </m:r>
              <m:r>
                <m:t>r</m:t>
              </m:r>
              <m:r>
                <m:rPr>
                  <m:sty m:val="p"/>
                </m:rPr>
                <m:t>(</m:t>
              </m:r>
              <m:r>
                <m:t>γ</m:t>
              </m:r>
              <m:r>
                <m:rPr>
                  <m:sty m:val="p"/>
                </m:rPr>
                <m:t>)</m:t>
              </m:r>
            </m:e>
          </m:borderBox>
        </m:oMath>
      </m:oMathPara>
    </w:p>
    <w:p>
      <w:pPr>
        <w:pStyle w:val="FirstParagraph"/>
      </w:pPr>
      <w:r>
        <w:rPr>
          <w:b/>
          <w:bCs/>
        </w:rPr>
        <w:t xml:space="preserve">Lesart:</w:t>
      </w:r>
      <w:r>
        <w:t xml:space="preserve"> </w:t>
      </w:r>
      <w:r>
        <w:t xml:space="preserve">Für jeden Weg</w:t>
      </w:r>
      <w:r>
        <w:t xml:space="preserve"> </w:t>
      </w:r>
      <m:oMath>
        <m:r>
          <m:t>γ</m:t>
        </m:r>
      </m:oMath>
      <w:r>
        <w:t xml:space="preserve">, der Teilmenge von</w:t>
      </w:r>
      <w:r>
        <w:t xml:space="preserve"> </w:t>
      </w:r>
      <m:oMath>
        <m:r>
          <m:t>T</m:t>
        </m:r>
      </m:oMath>
      <w:r>
        <w:t xml:space="preserve"> </w:t>
      </w:r>
      <w:r>
        <w:t xml:space="preserve">ist, gilt:</w:t>
      </w:r>
      <w:r>
        <w:t xml:space="preserve"> </w:t>
      </w:r>
      <m:oMath>
        <m:r>
          <m:t>γ</m:t>
        </m:r>
      </m:oMath>
      <w:r>
        <w:t xml:space="preserve"> </w:t>
      </w:r>
      <w:r>
        <w:t xml:space="preserve">ist Element von</w:t>
      </w:r>
      <w:r>
        <w:t xml:space="preserve"> </w:t>
      </w:r>
      <m:oMath>
        <m:r>
          <m:t>T</m:t>
        </m:r>
      </m:oMath>
      <w:r>
        <w:t xml:space="preserve">, und die Trinität gilt.</w:t>
      </w:r>
    </w:p>
    <w:bookmarkEnd w:id="18"/>
    <w:bookmarkStart w:id="19" w:name="was-dieser-gedanke-bedeutet"/>
    <w:p>
      <w:pPr>
        <w:pStyle w:val="Heading2"/>
      </w:pPr>
      <w:r>
        <w:t xml:space="preserve">Was dieser Gedanke bedeutet</w:t>
      </w:r>
    </w:p>
    <w:p>
      <w:pPr>
        <w:pStyle w:val="FirstParagraph"/>
      </w:pPr>
      <w:r>
        <w:t xml:space="preserve">Der Gedanke hat</w:t>
      </w:r>
      <w:r>
        <w:t xml:space="preserve"> </w:t>
      </w:r>
      <w:r>
        <w:rPr>
          <w:b/>
          <w:bCs/>
        </w:rPr>
        <w:t xml:space="preserve">drei</w:t>
      </w:r>
      <w:r>
        <w:t xml:space="preserve"> </w:t>
      </w:r>
      <w:r>
        <w:t xml:space="preserve">Aspekte:</w:t>
      </w:r>
    </w:p>
    <w:p>
      <w:pPr>
        <w:pStyle w:val="BodyText"/>
      </w:pPr>
      <w:r>
        <w:rPr>
          <w:b/>
          <w:bCs/>
        </w:rPr>
        <w:t xml:space="preserve">Aspekt 1: Universalität.</w:t>
      </w:r>
      <w:r>
        <w:t xml:space="preserve"> </w:t>
      </w:r>
      <w:r>
        <w:t xml:space="preserve">Die Trinität umfasst</w:t>
      </w:r>
      <w:r>
        <w:t xml:space="preserve"> </w:t>
      </w:r>
      <w:r>
        <w:rPr>
          <w:b/>
          <w:bCs/>
        </w:rPr>
        <w:t xml:space="preserve">alle</w:t>
      </w:r>
      <w:r>
        <w:t xml:space="preserve"> </w:t>
      </w:r>
      <w:r>
        <w:t xml:space="preserve">Wege — auch die, die nicht ankommen.</w:t>
      </w:r>
    </w:p>
    <w:p>
      <w:pPr>
        <w:pStyle w:val="BodyText"/>
      </w:pPr>
      <w:r>
        <w:rPr>
          <w:b/>
          <w:bCs/>
        </w:rPr>
        <w:t xml:space="preserve">Aspekt 2: Strukturalität.</w:t>
      </w:r>
      <w:r>
        <w:t xml:space="preserve"> </w:t>
      </w:r>
      <w:r>
        <w:t xml:space="preserve">Die Trinität ist</w:t>
      </w:r>
      <w:r>
        <w:t xml:space="preserve"> </w:t>
      </w:r>
      <w:r>
        <w:rPr>
          <w:b/>
          <w:bCs/>
        </w:rPr>
        <w:t xml:space="preserve">kein Gegenstand</w:t>
      </w:r>
      <w:r>
        <w:t xml:space="preserve">, sondern eine</w:t>
      </w:r>
      <w:r>
        <w:t xml:space="preserve"> </w:t>
      </w:r>
      <w:r>
        <w:rPr>
          <w:b/>
          <w:bCs/>
        </w:rPr>
        <w:t xml:space="preserve">Struktur</w:t>
      </w:r>
      <w:r>
        <w:t xml:space="preserve">.</w:t>
      </w:r>
    </w:p>
    <w:p>
      <w:pPr>
        <w:pStyle w:val="BodyText"/>
      </w:pPr>
      <w:r>
        <w:rPr>
          <w:b/>
          <w:bCs/>
        </w:rPr>
        <w:t xml:space="preserve">Aspekt 3: Notwendigkeit.</w:t>
      </w:r>
      <w:r>
        <w:t xml:space="preserve"> </w:t>
      </w:r>
      <w:r>
        <w:t xml:space="preserve">Die Trinität ist</w:t>
      </w:r>
      <w:r>
        <w:t xml:space="preserve"> </w:t>
      </w:r>
      <w:r>
        <w:rPr>
          <w:b/>
          <w:bCs/>
        </w:rPr>
        <w:t xml:space="preserve">notwendig</w:t>
      </w:r>
      <w:r>
        <w:t xml:space="preserve"> </w:t>
      </w:r>
      <w:r>
        <w:t xml:space="preserve">— sie folgt aus A1.</w:t>
      </w:r>
    </w:p>
    <w:bookmarkEnd w:id="19"/>
    <w:bookmarkStart w:id="20" w:name="warum-dieser-gedanke-trägt"/>
    <w:p>
      <w:pPr>
        <w:pStyle w:val="Heading2"/>
      </w:pPr>
      <w:r>
        <w:t xml:space="preserve">Warum dieser Gedanke trägt</w:t>
      </w:r>
    </w:p>
    <w:p>
      <w:pPr>
        <w:pStyle w:val="FirstParagraph"/>
      </w:pPr>
      <w:r>
        <w:t xml:space="preserve">Dieser Gedanke trägt, weil er:</w:t>
      </w:r>
    </w:p>
    <w:p>
      <w:pPr>
        <w:pStyle w:val="Compact"/>
        <w:numPr>
          <w:ilvl w:val="0"/>
          <w:numId w:val="1003"/>
        </w:numPr>
      </w:pPr>
      <w:r>
        <w:rPr>
          <w:b/>
          <w:bCs/>
        </w:rPr>
        <w:t xml:space="preserve">Alle Perspektiven integriert.</w:t>
      </w:r>
      <w:r>
        <w:t xml:space="preserve"> </w:t>
      </w:r>
      <w:r>
        <w:t xml:space="preserve">DeLillo und Van Dormael, Kopenhagen und MWI, Weg und Grenzwert.</w:t>
      </w:r>
    </w:p>
    <w:p>
      <w:pPr>
        <w:pStyle w:val="Compact"/>
        <w:numPr>
          <w:ilvl w:val="0"/>
          <w:numId w:val="1003"/>
        </w:numPr>
      </w:pPr>
      <w:r>
        <w:rPr>
          <w:b/>
          <w:bCs/>
        </w:rPr>
        <w:t xml:space="preserve">Die Einheit bewahrt.</w:t>
      </w:r>
      <w:r>
        <w:t xml:space="preserve"> </w:t>
      </w:r>
      <w:r>
        <w:t xml:space="preserve">Die Einheit</w:t>
      </w:r>
      <w:r>
        <w:t xml:space="preserve"> </w:t>
      </w:r>
      <m:oMath>
        <m:r>
          <m:t>K</m:t>
        </m:r>
        <m:r>
          <m:rPr>
            <m:sty m:val="p"/>
          </m:rPr>
          <m:t>(</m:t>
        </m:r>
        <m:r>
          <m:t>U</m:t>
        </m:r>
        <m:r>
          <m:rPr>
            <m:sty m:val="p"/>
          </m:rPr>
          <m:t>,</m:t>
        </m:r>
        <m:r>
          <m:t>T</m:t>
        </m:r>
        <m:r>
          <m:rPr>
            <m:sty m:val="p"/>
          </m:rPr>
          <m:t>,</m:t>
        </m:r>
        <m:r>
          <m:t>S</m:t>
        </m:r>
        <m:r>
          <m:rPr>
            <m:sty m:val="p"/>
          </m:rPr>
          <m:t>)</m:t>
        </m:r>
      </m:oMath>
      <w:r>
        <w:t xml:space="preserve"> </w:t>
      </w:r>
      <w:r>
        <w:t xml:space="preserve">folgt aus A1.</w:t>
      </w:r>
    </w:p>
    <w:p>
      <w:pPr>
        <w:pStyle w:val="Compact"/>
        <w:numPr>
          <w:ilvl w:val="0"/>
          <w:numId w:val="1003"/>
        </w:numPr>
      </w:pPr>
      <w:r>
        <w:rPr>
          <w:b/>
          <w:bCs/>
        </w:rPr>
        <w:t xml:space="preserve">Die Grenze anerkennt.</w:t>
      </w:r>
      <w:r>
        <w:t xml:space="preserve"> </w:t>
      </w:r>
      <w:r>
        <w:t xml:space="preserve">Die Wahl der Axiome ist nicht formal entscheidbar.</w:t>
      </w:r>
    </w:p>
    <w:p>
      <w:pPr>
        <w:pStyle w:val="Compact"/>
        <w:numPr>
          <w:ilvl w:val="0"/>
          <w:numId w:val="1003"/>
        </w:numPr>
      </w:pPr>
      <w:r>
        <w:rPr>
          <w:b/>
          <w:bCs/>
        </w:rPr>
        <w:t xml:space="preserve">Die Offenheit bewahrt.</w:t>
      </w:r>
      <w:r>
        <w:t xml:space="preserve"> </w:t>
      </w:r>
      <w:r>
        <w:t xml:space="preserve">Die Fragen bleiben offen. Wir stehen am Anfang der Unendlichkeit.</w:t>
      </w:r>
    </w:p>
    <w:bookmarkEnd w:id="20"/>
    <w:bookmarkEnd w:id="21"/>
    <w:bookmarkStart w:id="26" w:name="die-bilder"/>
    <w:p>
      <w:pPr>
        <w:pStyle w:val="Heading1"/>
      </w:pPr>
      <w:r>
        <w:t xml:space="preserve">Die Bilder</w:t>
      </w:r>
    </w:p>
    <w:bookmarkStart w:id="22" w:name="anfang-der-unendlichkeit"/>
    <w:p>
      <w:pPr>
        <w:pStyle w:val="Heading2"/>
      </w:pPr>
      <w:r>
        <w:t xml:space="preserve">Anfang der Unendlichkeit</w:t>
      </w:r>
    </w:p>
    <w:p>
      <w:pPr>
        <w:pStyle w:val="FirstParagraph"/>
      </w:pPr>
      <w:r>
        <w:t xml:space="preserve">Das erste Bild ist das des</w:t>
      </w:r>
      <w:r>
        <w:t xml:space="preserve"> </w:t>
      </w:r>
      <w:r>
        <w:rPr>
          <w:b/>
          <w:bCs/>
        </w:rPr>
        <w:t xml:space="preserve">Anfangs der Unendlichkeit</w:t>
      </w:r>
      <w:r>
        <w:t xml:space="preserve"> </w:t>
      </w:r>
      <w:r>
        <w:t xml:space="preserve">(nach David Deutsch).</w:t>
      </w:r>
    </w:p>
    <w:p>
      <w:pPr>
        <w:pStyle w:val="BodyText"/>
      </w:pPr>
      <w:r>
        <w:rPr>
          <w:b/>
          <w:bCs/>
        </w:rPr>
        <w:t xml:space="preserve">Bedeutung:</w:t>
      </w:r>
      <w:r>
        <w:t xml:space="preserve"> </w:t>
      </w:r>
      <w:r>
        <w:t xml:space="preserve">Wir stehen</w:t>
      </w:r>
      <w:r>
        <w:t xml:space="preserve"> </w:t>
      </w:r>
      <w:r>
        <w:rPr>
          <w:b/>
          <w:bCs/>
        </w:rPr>
        <w:t xml:space="preserve">immer</w:t>
      </w:r>
      <w:r>
        <w:t xml:space="preserve"> </w:t>
      </w:r>
      <w:r>
        <w:t xml:space="preserve">am Anfang. Es gibt kein letztes Axiom, keine letzte Axiomatisierung. Jede ist eine mögliche.</w:t>
      </w:r>
    </w:p>
    <w:p>
      <w:pPr>
        <w:pStyle w:val="BodyText"/>
      </w:pPr>
      <w:r>
        <w:rPr>
          <w:b/>
          <w:bCs/>
        </w:rPr>
        <w:t xml:space="preserve">Formale Fassung:</w:t>
      </w:r>
    </w:p>
    <w:p>
      <w:pPr>
        <w:pStyle w:val="BodyText"/>
      </w:pPr>
      <m:oMathPara>
        <m:oMathParaPr>
          <m:jc m:val="center"/>
        </m:oMathParaPr>
        <m:oMath>
          <m:r>
            <m:rPr>
              <m:nor/>
              <m:sty m:val="p"/>
            </m:rPr>
            <m:t>Kein letztes Axiom</m:t>
          </m:r>
          <m:r>
            <m:rPr>
              <m:sty m:val="p"/>
            </m:rPr>
            <m:t>⇒</m:t>
          </m:r>
          <m:r>
            <m:rPr>
              <m:nor/>
              <m:sty m:val="p"/>
            </m:rPr>
            <m:t>Offenheit der Axiomatik</m:t>
          </m:r>
        </m:oMath>
      </m:oMathPara>
    </w:p>
    <w:p>
      <w:pPr>
        <w:pStyle w:val="FirstParagraph"/>
      </w:pPr>
      <w:r>
        <w:rPr>
          <w:b/>
          <w:bCs/>
        </w:rPr>
        <w:t xml:space="preserve">Konsequenz:</w:t>
      </w:r>
      <w:r>
        <w:t xml:space="preserve"> </w:t>
      </w:r>
      <w:r>
        <w:t xml:space="preserve">Die formale Arbeit ist</w:t>
      </w:r>
      <w:r>
        <w:t xml:space="preserve"> </w:t>
      </w:r>
      <w:r>
        <w:rPr>
          <w:b/>
          <w:bCs/>
        </w:rPr>
        <w:t xml:space="preserve">nie abgeschlossen</w:t>
      </w:r>
      <w:r>
        <w:t xml:space="preserve">. Sie ist immer eine</w:t>
      </w:r>
      <w:r>
        <w:t xml:space="preserve"> </w:t>
      </w:r>
      <w:r>
        <w:rPr>
          <w:b/>
          <w:bCs/>
        </w:rPr>
        <w:t xml:space="preserve">Vorbereitung</w:t>
      </w:r>
      <w:r>
        <w:t xml:space="preserve">.</w:t>
      </w:r>
    </w:p>
    <w:bookmarkEnd w:id="22"/>
    <w:bookmarkStart w:id="23" w:name="gutes-als-grenzwert"/>
    <w:p>
      <w:pPr>
        <w:pStyle w:val="Heading2"/>
      </w:pPr>
      <w:r>
        <w:t xml:space="preserve">Gutes als Grenzwert</w:t>
      </w:r>
    </w:p>
    <w:p>
      <w:pPr>
        <w:pStyle w:val="FirstParagraph"/>
      </w:pPr>
      <w:r>
        <w:t xml:space="preserve">Das zweite Bild ist das des</w:t>
      </w:r>
      <w:r>
        <w:t xml:space="preserve"> </w:t>
      </w:r>
      <w:r>
        <w:rPr>
          <w:b/>
          <w:bCs/>
        </w:rPr>
        <w:t xml:space="preserve">Guten als Grenzwert</w:t>
      </w:r>
      <w:r>
        <w:t xml:space="preserve">.</w:t>
      </w:r>
    </w:p>
    <w:p>
      <w:pPr>
        <w:pStyle w:val="BodyText"/>
      </w:pPr>
      <w:r>
        <w:rPr>
          <w:b/>
          <w:bCs/>
        </w:rPr>
        <w:t xml:space="preserve">Bedeutung:</w:t>
      </w:r>
      <w:r>
        <w:t xml:space="preserve"> </w:t>
      </w:r>
      <w:r>
        <w:t xml:space="preserve">Das Gute ist</w:t>
      </w:r>
      <w:r>
        <w:t xml:space="preserve"> </w:t>
      </w:r>
      <w:r>
        <w:rPr>
          <w:b/>
          <w:bCs/>
        </w:rPr>
        <w:t xml:space="preserve">kein Zustand</w:t>
      </w:r>
      <w:r>
        <w:t xml:space="preserve">, sondern ein</w:t>
      </w:r>
      <w:r>
        <w:t xml:space="preserve"> </w:t>
      </w:r>
      <w:r>
        <w:rPr>
          <w:b/>
          <w:bCs/>
        </w:rPr>
        <w:t xml:space="preserve">Grenzwert</w:t>
      </w:r>
      <w:r>
        <w:t xml:space="preserve">. Es ist das, worauf alle Wege zulaufen.</w:t>
      </w:r>
    </w:p>
    <w:p>
      <w:pPr>
        <w:pStyle w:val="BodyText"/>
      </w:pPr>
      <w:r>
        <w:rPr>
          <w:b/>
          <w:bCs/>
        </w:rPr>
        <w:t xml:space="preserve">Formale Fassung:</w:t>
      </w:r>
    </w:p>
    <w:p>
      <w:pPr>
        <w:pStyle w:val="BodyText"/>
      </w:pPr>
      <m:oMathPara>
        <m:oMathParaPr>
          <m:jc m:val="center"/>
        </m:oMathParaPr>
        <m:oMath>
          <m:borderBox>
            <m:e>
              <m:r>
                <m:rPr>
                  <m:nor/>
                  <m:sty m:val="p"/>
                </m:rPr>
                <m:t>Gut</m:t>
              </m:r>
              <m:box>
                <m:boxPr>
                  <m:opEmu m:val="on"/>
                </m:boxPr>
                <m:e>
                  <m:r>
                    <m:rPr>
                      <m:sty m:val="p"/>
                    </m:rPr>
                    <m:t>:=</m:t>
                  </m:r>
                </m:e>
              </m:box>
              <m:r>
                <m:t>S</m:t>
              </m:r>
            </m:e>
          </m:borderBox>
        </m:oMath>
      </m:oMathPara>
    </w:p>
    <w:p>
      <w:pPr>
        <w:pStyle w:val="FirstParagraph"/>
      </w:pPr>
      <w:r>
        <w:rPr>
          <w:b/>
          <w:bCs/>
        </w:rPr>
        <w:t xml:space="preserve">Konsequenz:</w:t>
      </w:r>
      <w:r>
        <w:t xml:space="preserve"> </w:t>
      </w:r>
      <w:r>
        <w:t xml:space="preserve">Das Gute kann nicht</w:t>
      </w:r>
      <w:r>
        <w:t xml:space="preserve"> </w:t>
      </w:r>
      <w:r>
        <w:rPr>
          <w:b/>
          <w:bCs/>
        </w:rPr>
        <w:t xml:space="preserve">erreicht</w:t>
      </w:r>
      <w:r>
        <w:t xml:space="preserve"> </w:t>
      </w:r>
      <w:r>
        <w:t xml:space="preserve">werden — nur</w:t>
      </w:r>
      <w:r>
        <w:t xml:space="preserve"> </w:t>
      </w:r>
      <w:r>
        <w:rPr>
          <w:b/>
          <w:bCs/>
        </w:rPr>
        <w:t xml:space="preserve">angenähert</w:t>
      </w:r>
      <w:r>
        <w:t xml:space="preserve">.</w:t>
      </w:r>
    </w:p>
    <w:bookmarkEnd w:id="23"/>
    <w:bookmarkStart w:id="24" w:name="böses-als-weg"/>
    <w:p>
      <w:pPr>
        <w:pStyle w:val="Heading2"/>
      </w:pPr>
      <w:r>
        <w:t xml:space="preserve">Böses als Weg</w:t>
      </w:r>
    </w:p>
    <w:p>
      <w:pPr>
        <w:pStyle w:val="FirstParagraph"/>
      </w:pPr>
      <w:r>
        <w:t xml:space="preserve">Das dritte Bild ist das des</w:t>
      </w:r>
      <w:r>
        <w:t xml:space="preserve"> </w:t>
      </w:r>
      <w:r>
        <w:rPr>
          <w:b/>
          <w:bCs/>
        </w:rPr>
        <w:t xml:space="preserve">Bösen als Weg</w:t>
      </w:r>
      <w:r>
        <w:t xml:space="preserve">.</w:t>
      </w:r>
    </w:p>
    <w:p>
      <w:pPr>
        <w:pStyle w:val="BodyText"/>
      </w:pPr>
      <w:r>
        <w:rPr>
          <w:b/>
          <w:bCs/>
        </w:rPr>
        <w:t xml:space="preserve">Bedeutung:</w:t>
      </w:r>
      <w:r>
        <w:t xml:space="preserve"> </w:t>
      </w:r>
      <w:r>
        <w:t xml:space="preserve">Das Böse ist</w:t>
      </w:r>
      <w:r>
        <w:t xml:space="preserve"> </w:t>
      </w:r>
      <w:r>
        <w:rPr>
          <w:b/>
          <w:bCs/>
        </w:rPr>
        <w:t xml:space="preserve">kein Gegenstück</w:t>
      </w:r>
      <w:r>
        <w:t xml:space="preserve"> </w:t>
      </w:r>
      <w:r>
        <w:t xml:space="preserve">zum Guten. Es ist der</w:t>
      </w:r>
      <w:r>
        <w:t xml:space="preserve"> </w:t>
      </w:r>
      <w:r>
        <w:rPr>
          <w:b/>
          <w:bCs/>
        </w:rPr>
        <w:t xml:space="preserve">Weg</w:t>
      </w:r>
      <w:r>
        <w:t xml:space="preserve"> </w:t>
      </w:r>
      <w:r>
        <w:t xml:space="preserve">zum Guten.</w:t>
      </w:r>
    </w:p>
    <w:p>
      <w:pPr>
        <w:pStyle w:val="BodyText"/>
      </w:pPr>
      <w:r>
        <w:rPr>
          <w:b/>
          <w:bCs/>
        </w:rPr>
        <w:t xml:space="preserve">Formale Fassung:</w:t>
      </w:r>
    </w:p>
    <w:p>
      <w:pPr>
        <w:pStyle w:val="BodyText"/>
      </w:pPr>
      <m:oMathPara>
        <m:oMathParaPr>
          <m:jc m:val="center"/>
        </m:oMathParaPr>
        <m:oMath>
          <m:borderBox>
            <m:e>
              <m:r>
                <m:rPr>
                  <m:nor/>
                  <m:sty m:val="p"/>
                </m:rPr>
                <m:t>Böse</m:t>
              </m:r>
              <m:box>
                <m:boxPr>
                  <m:opEmu m:val="on"/>
                </m:boxPr>
                <m:e>
                  <m:r>
                    <m:rPr>
                      <m:sty m:val="p"/>
                    </m:rPr>
                    <m:t>:=</m:t>
                  </m:r>
                </m:e>
              </m:box>
              <m:r>
                <m:rPr>
                  <m:sty m:val="p"/>
                </m:rPr>
                <m:t>{</m:t>
              </m:r>
              <m:r>
                <m:t>γ</m:t>
              </m:r>
              <m:r>
                <m:rPr>
                  <m:sty m:val="p"/>
                </m:rPr>
                <m:t>:</m:t>
              </m:r>
              <m:r>
                <m:rPr>
                  <m:sty m:val="p"/>
                </m:rPr>
                <m:t>[</m:t>
              </m:r>
              <m:r>
                <m:t>0</m:t>
              </m:r>
              <m:r>
                <m:rPr>
                  <m:sty m:val="p"/>
                </m:rPr>
                <m:t>,</m:t>
              </m:r>
              <m:r>
                <m:t>1</m:t>
              </m:r>
              <m:r>
                <m:rPr>
                  <m:sty m:val="p"/>
                </m:rPr>
                <m:t>]</m:t>
              </m:r>
              <m:r>
                <m:rPr>
                  <m:sty m:val="p"/>
                </m:rPr>
                <m:t>→</m:t>
              </m:r>
              <m:r>
                <m:t>T</m:t>
              </m:r>
              <m:r>
                <m:rPr>
                  <m:sty m:val="p"/>
                </m:rPr>
                <m:t>∣</m:t>
              </m:r>
              <m:limLow>
                <m:e>
                  <m:r>
                    <m:rPr>
                      <m:sty m:val="p"/>
                    </m:rPr>
                    <m:t>lim</m:t>
                  </m:r>
                </m:e>
                <m:lim>
                  <m:r>
                    <m:t>t</m:t>
                  </m:r>
                  <m:r>
                    <m:rPr>
                      <m:sty m:val="p"/>
                    </m:rPr>
                    <m:t>→</m:t>
                  </m:r>
                  <m:r>
                    <m:t>1</m:t>
                  </m:r>
                </m:lim>
              </m:limLow>
              <m:r>
                <m:t>γ</m:t>
              </m:r>
              <m:r>
                <m:rPr>
                  <m:sty m:val="p"/>
                </m:rPr>
                <m:t>(</m:t>
              </m:r>
              <m:r>
                <m:t>t</m:t>
              </m:r>
              <m:r>
                <m:rPr>
                  <m:sty m:val="p"/>
                </m:rPr>
                <m:t>)</m:t>
              </m:r>
              <m:r>
                <m:rPr>
                  <m:sty m:val="p"/>
                </m:rPr>
                <m:t>=</m:t>
              </m:r>
              <m:r>
                <m:t>S</m:t>
              </m:r>
              <m:r>
                <m:rPr>
                  <m:sty m:val="p"/>
                </m:rPr>
                <m:t>∧</m:t>
              </m:r>
              <m:r>
                <m:rPr>
                  <m:nor/>
                  <m:sty m:val="p"/>
                </m:rPr>
                <m:t>Leid</m:t>
              </m:r>
              <m:r>
                <m:rPr>
                  <m:sty m:val="p"/>
                </m:rPr>
                <m:t>(</m:t>
              </m:r>
              <m:r>
                <m:t>γ</m:t>
              </m:r>
              <m:r>
                <m:rPr>
                  <m:sty m:val="p"/>
                </m:rPr>
                <m:t>)</m:t>
              </m:r>
              <m:r>
                <m:rPr>
                  <m:sty m:val="p"/>
                </m:rPr>
                <m:t>}</m:t>
              </m:r>
            </m:e>
          </m:borderBox>
        </m:oMath>
      </m:oMathPara>
    </w:p>
    <w:p>
      <w:pPr>
        <w:pStyle w:val="FirstParagraph"/>
      </w:pPr>
      <w:r>
        <w:rPr>
          <w:b/>
          <w:bCs/>
        </w:rPr>
        <w:t xml:space="preserve">Konsequenz:</w:t>
      </w:r>
      <w:r>
        <w:t xml:space="preserve"> </w:t>
      </w:r>
      <w:r>
        <w:t xml:space="preserve">Das Böse ist</w:t>
      </w:r>
      <w:r>
        <w:t xml:space="preserve"> </w:t>
      </w:r>
      <w:r>
        <w:rPr>
          <w:b/>
          <w:bCs/>
        </w:rPr>
        <w:t xml:space="preserve">genetisch</w:t>
      </w:r>
      <w:r>
        <w:t xml:space="preserve">, nicht</w:t>
      </w:r>
      <w:r>
        <w:t xml:space="preserve"> </w:t>
      </w:r>
      <w:r>
        <w:rPr>
          <w:b/>
          <w:bCs/>
        </w:rPr>
        <w:t xml:space="preserve">ontologisch</w:t>
      </w:r>
      <w:r>
        <w:t xml:space="preserve">. Es ist nicht</w:t>
      </w:r>
      <w:r>
        <w:t xml:space="preserve"> </w:t>
      </w:r>
      <w:r>
        <w:rPr>
          <w:b/>
          <w:bCs/>
        </w:rPr>
        <w:t xml:space="preserve">ewig</w:t>
      </w:r>
      <w:r>
        <w:t xml:space="preserve">, aber es ist</w:t>
      </w:r>
      <w:r>
        <w:t xml:space="preserve"> </w:t>
      </w:r>
      <w:r>
        <w:rPr>
          <w:b/>
          <w:bCs/>
        </w:rPr>
        <w:t xml:space="preserve">nicht vermeidbar</w:t>
      </w:r>
      <w:r>
        <w:t xml:space="preserve">.</w:t>
      </w:r>
    </w:p>
    <w:bookmarkEnd w:id="24"/>
    <w:bookmarkStart w:id="25" w:name="strukturelle-integration"/>
    <w:p>
      <w:pPr>
        <w:pStyle w:val="Heading2"/>
      </w:pPr>
      <w:r>
        <w:t xml:space="preserve">Strukturelle Integration</w:t>
      </w:r>
    </w:p>
    <w:p>
      <w:pPr>
        <w:pStyle w:val="FirstParagraph"/>
      </w:pPr>
      <w:r>
        <w:t xml:space="preserve">Das vierte Bild ist das der</w:t>
      </w:r>
      <w:r>
        <w:t xml:space="preserve"> </w:t>
      </w:r>
      <w:r>
        <w:rPr>
          <w:b/>
          <w:bCs/>
        </w:rPr>
        <w:t xml:space="preserve">strukturellen Integration</w:t>
      </w:r>
      <w:r>
        <w:t xml:space="preserve">.</w:t>
      </w:r>
    </w:p>
    <w:p>
      <w:pPr>
        <w:pStyle w:val="BodyText"/>
      </w:pPr>
      <w:r>
        <w:rPr>
          <w:b/>
          <w:bCs/>
        </w:rPr>
        <w:t xml:space="preserve">Bedeutung:</w:t>
      </w:r>
      <w:r>
        <w:t xml:space="preserve"> </w:t>
      </w:r>
      <w:r>
        <w:t xml:space="preserve">Was aus der Perspektive eines Weges wie</w:t>
      </w:r>
      <w:r>
        <w:t xml:space="preserve"> </w:t>
      </w:r>
      <w:r>
        <w:rPr>
          <w:b/>
          <w:bCs/>
        </w:rPr>
        <w:t xml:space="preserve">Verlust</w:t>
      </w:r>
      <w:r>
        <w:t xml:space="preserve"> </w:t>
      </w:r>
      <w:r>
        <w:t xml:space="preserve">erscheint, ist aus der Perspektive von</w:t>
      </w:r>
      <w:r>
        <w:t xml:space="preserve"> </w:t>
      </w:r>
      <m:oMath>
        <m:r>
          <m:t>S</m:t>
        </m:r>
      </m:oMath>
      <w:r>
        <w:t xml:space="preserve"> </w:t>
      </w:r>
      <w:r>
        <w:rPr>
          <w:b/>
          <w:bCs/>
        </w:rPr>
        <w:t xml:space="preserve">Integration</w:t>
      </w:r>
      <w:r>
        <w:t xml:space="preserve">.</w:t>
      </w:r>
    </w:p>
    <w:p>
      <w:pPr>
        <w:pStyle w:val="BodyText"/>
      </w:pPr>
      <w:r>
        <w:rPr>
          <w:b/>
          <w:bCs/>
        </w:rPr>
        <w:t xml:space="preserve">Formale Fassung:</w:t>
      </w:r>
    </w:p>
    <w:p>
      <w:pPr>
        <w:pStyle w:val="BodyText"/>
      </w:pPr>
      <m:oMathPara>
        <m:oMathParaPr>
          <m:jc m:val="center"/>
        </m:oMathParaPr>
        <m:oMath>
          <m:borderBox>
            <m:e>
              <m:r>
                <m:rPr>
                  <m:sty m:val="p"/>
                </m:rPr>
                <m:t>∀</m:t>
              </m:r>
              <m:r>
                <m:t>γ</m:t>
              </m:r>
              <m:r>
                <m:rPr>
                  <m:sty m:val="p"/>
                </m:rPr>
                <m:t>⊆</m:t>
              </m:r>
              <m:r>
                <m:t>T</m:t>
              </m:r>
              <m:r>
                <m:rPr>
                  <m:sty m:val="p"/>
                </m:rPr>
                <m:t>:</m:t>
              </m:r>
              <m:r>
                <m:t>γ</m:t>
              </m:r>
              <m:r>
                <m:rPr>
                  <m:sty m:val="p"/>
                </m:rPr>
                <m:t>∈</m:t>
              </m:r>
              <m:r>
                <m:t>T</m:t>
              </m:r>
            </m:e>
          </m:borderBox>
        </m:oMath>
      </m:oMathPara>
    </w:p>
    <w:p>
      <w:pPr>
        <w:pStyle w:val="FirstParagraph"/>
      </w:pPr>
      <w:r>
        <w:rPr>
          <w:b/>
          <w:bCs/>
        </w:rPr>
        <w:t xml:space="preserve">Konsequenz:</w:t>
      </w:r>
      <w:r>
        <w:t xml:space="preserve"> </w:t>
      </w:r>
      <w:r>
        <w:t xml:space="preserve">Die Integration ist</w:t>
      </w:r>
      <w:r>
        <w:t xml:space="preserve"> </w:t>
      </w:r>
      <w:r>
        <w:rPr>
          <w:b/>
          <w:bCs/>
        </w:rPr>
        <w:t xml:space="preserve">kein Ereignis</w:t>
      </w:r>
      <w:r>
        <w:t xml:space="preserve">, sondern die</w:t>
      </w:r>
      <w:r>
        <w:t xml:space="preserve"> </w:t>
      </w:r>
      <w:r>
        <w:rPr>
          <w:b/>
          <w:bCs/>
        </w:rPr>
        <w:t xml:space="preserve">Form</w:t>
      </w:r>
      <w:r>
        <w:t xml:space="preserve"> </w:t>
      </w:r>
      <w:r>
        <w:t xml:space="preserve">von</w:t>
      </w:r>
      <w:r>
        <w:t xml:space="preserve"> </w:t>
      </w:r>
      <m:oMath>
        <m:r>
          <m:t>T</m:t>
        </m:r>
      </m:oMath>
      <w:r>
        <w:t xml:space="preserve">. Sie ist</w:t>
      </w:r>
      <w:r>
        <w:t xml:space="preserve"> </w:t>
      </w:r>
      <w:r>
        <w:rPr>
          <w:b/>
          <w:bCs/>
        </w:rPr>
        <w:t xml:space="preserve">immer schon</w:t>
      </w:r>
      <w:r>
        <w:t xml:space="preserve"> </w:t>
      </w:r>
      <w:r>
        <w:t xml:space="preserve">geschehen.</w:t>
      </w:r>
    </w:p>
    <w:bookmarkEnd w:id="25"/>
    <w:bookmarkEnd w:id="26"/>
    <w:bookmarkStart w:id="30" w:name="was-bleibt-die-fragen-die-offen-bleiben"/>
    <w:p>
      <w:pPr>
        <w:pStyle w:val="Heading1"/>
      </w:pPr>
      <w:r>
        <w:t xml:space="preserve">Was bleibt: Die Fragen, die offen bleiben</w:t>
      </w:r>
    </w:p>
    <w:bookmarkStart w:id="27" w:name="die-offenen-fragen"/>
    <w:p>
      <w:pPr>
        <w:pStyle w:val="Heading2"/>
      </w:pPr>
      <w:r>
        <w:t xml:space="preserve">Die offenen Fragen</w:t>
      </w:r>
    </w:p>
    <w:p>
      <w:pPr>
        <w:pStyle w:val="FirstParagraph"/>
      </w:pPr>
      <w:r>
        <w:t xml:space="preserve">Die Reihe hat</w:t>
      </w:r>
      <w:r>
        <w:t xml:space="preserve"> </w:t>
      </w:r>
      <w:r>
        <w:rPr>
          <w:b/>
          <w:bCs/>
        </w:rPr>
        <w:t xml:space="preserve">viele Fragen offen gelassen</w:t>
      </w:r>
      <w:r>
        <w:t xml:space="preserve">. Die wichtigsten sind:</w:t>
      </w:r>
    </w:p>
    <w:p>
      <w:pPr>
        <w:pStyle w:val="BodyText"/>
      </w:pPr>
      <w:r>
        <w:rPr>
          <w:b/>
          <w:bCs/>
        </w:rPr>
        <w:t xml:space="preserve">Frage 1:</w:t>
      </w:r>
      <w:r>
        <w:t xml:space="preserve"> </w:t>
      </w:r>
      <w:r>
        <w:t xml:space="preserve">Gibt es eine kanonische Erweiterung von S5? Oder sind alle Erweiterungen gleichberechtigt?</w:t>
      </w:r>
    </w:p>
    <w:p>
      <w:pPr>
        <w:pStyle w:val="BodyText"/>
      </w:pPr>
      <w:r>
        <w:rPr>
          <w:b/>
          <w:bCs/>
        </w:rPr>
        <w:t xml:space="preserve">Frage 2:</w:t>
      </w:r>
      <w:r>
        <w:t xml:space="preserve"> </w:t>
      </w:r>
      <w:r>
        <w:t xml:space="preserve">Gibt es Wege ohne Omega-Punkt? Wenn ja: Wie viele?</w:t>
      </w:r>
    </w:p>
    <w:p>
      <w:pPr>
        <w:pStyle w:val="BodyText"/>
      </w:pPr>
      <w:r>
        <w:rPr>
          <w:b/>
          <w:bCs/>
        </w:rPr>
        <w:t xml:space="preserve">Frage 3:</w:t>
      </w:r>
      <w:r>
        <w:t xml:space="preserve"> </w:t>
      </w:r>
      <w:r>
        <w:t xml:space="preserve">Was ist Leid? Wie wird</w:t>
      </w:r>
      <w:r>
        <w:t xml:space="preserve"> </w:t>
      </w:r>
      <m:oMath>
        <m:r>
          <m:rPr>
            <m:nor/>
            <m:sty m:val="p"/>
          </m:rPr>
          <m:t>Leid</m:t>
        </m:r>
        <m:r>
          <m:rPr>
            <m:sty m:val="p"/>
          </m:rPr>
          <m:t>(</m:t>
        </m:r>
        <m:r>
          <m:t>γ</m:t>
        </m:r>
        <m:r>
          <m:rPr>
            <m:sty m:val="p"/>
          </m:rPr>
          <m:t>)</m:t>
        </m:r>
      </m:oMath>
      <w:r>
        <w:t xml:space="preserve"> </w:t>
      </w:r>
      <w:r>
        <w:t xml:space="preserve">definiert?</w:t>
      </w:r>
    </w:p>
    <w:p>
      <w:pPr>
        <w:pStyle w:val="BodyText"/>
      </w:pPr>
      <w:r>
        <w:rPr>
          <w:b/>
          <w:bCs/>
        </w:rPr>
        <w:t xml:space="preserve">Frage 4:</w:t>
      </w:r>
      <w:r>
        <w:t xml:space="preserve"> </w:t>
      </w:r>
      <w:r>
        <w:t xml:space="preserve">Gibt es eine dritte Beobachterkonzeption (neben konstitutiv und strukturell)?</w:t>
      </w:r>
    </w:p>
    <w:p>
      <w:pPr>
        <w:pStyle w:val="BodyText"/>
      </w:pPr>
      <w:r>
        <w:rPr>
          <w:b/>
          <w:bCs/>
        </w:rPr>
        <w:t xml:space="preserve">Frage 5:</w:t>
      </w:r>
      <w:r>
        <w:t xml:space="preserve"> </w:t>
      </w:r>
      <w:r>
        <w:t xml:space="preserve">Ist</w:t>
      </w:r>
      <w:r>
        <w:t xml:space="preserve"> </w:t>
      </w:r>
      <m:oMath>
        <m:r>
          <m:t>K</m:t>
        </m:r>
        <m:r>
          <m:rPr>
            <m:sty m:val="p"/>
          </m:rPr>
          <m:t>(</m:t>
        </m:r>
        <m:r>
          <m:t>U</m:t>
        </m:r>
        <m:r>
          <m:rPr>
            <m:sty m:val="p"/>
          </m:rPr>
          <m:t>,</m:t>
        </m:r>
        <m:r>
          <m:t>T</m:t>
        </m:r>
        <m:r>
          <m:rPr>
            <m:sty m:val="p"/>
          </m:rPr>
          <m:t>,</m:t>
        </m:r>
        <m:r>
          <m:t>S</m:t>
        </m:r>
        <m:r>
          <m:rPr>
            <m:sty m:val="p"/>
          </m:rPr>
          <m:t>)</m:t>
        </m:r>
      </m:oMath>
      <w:r>
        <w:t xml:space="preserve"> </w:t>
      </w:r>
      <w:r>
        <w:t xml:space="preserve">minimal? Gibt es eine schwächere Formel?</w:t>
      </w:r>
    </w:p>
    <w:p>
      <w:pPr>
        <w:pStyle w:val="BodyText"/>
      </w:pPr>
      <w:r>
        <w:rPr>
          <w:b/>
          <w:bCs/>
        </w:rPr>
        <w:t xml:space="preserve">Frage 6:</w:t>
      </w:r>
      <w:r>
        <w:t xml:space="preserve"> </w:t>
      </w:r>
      <w:r>
        <w:t xml:space="preserve">Wie verhält sich</w:t>
      </w:r>
      <w:r>
        <w:t xml:space="preserve"> </w:t>
      </w:r>
      <m:oMath>
        <m:r>
          <m:t>Z</m:t>
        </m:r>
      </m:oMath>
      <w:r>
        <w:t xml:space="preserve"> </w:t>
      </w:r>
      <w:r>
        <w:t xml:space="preserve">zu</w:t>
      </w:r>
      <w:r>
        <w:t xml:space="preserve"> </w:t>
      </w:r>
      <m:oMath>
        <m:r>
          <m:rPr>
            <m:sty m:val="p"/>
          </m:rPr>
          <m:t>□</m:t>
        </m:r>
      </m:oMath>
      <w:r>
        <w:t xml:space="preserve">? Sind sie äquivalent?</w:t>
      </w:r>
    </w:p>
    <w:p>
      <w:pPr>
        <w:pStyle w:val="BodyText"/>
      </w:pPr>
      <w:r>
        <w:rPr>
          <w:b/>
          <w:bCs/>
        </w:rPr>
        <w:t xml:space="preserve">Frage 7:</w:t>
      </w:r>
      <w:r>
        <w:t xml:space="preserve"> </w:t>
      </w:r>
      <w:r>
        <w:t xml:space="preserve">Gibt es Perspektiven, die nicht konvergieren?</w:t>
      </w:r>
    </w:p>
    <w:p>
      <w:pPr>
        <w:pStyle w:val="BodyText"/>
      </w:pPr>
      <w:r>
        <w:rPr>
          <w:b/>
          <w:bCs/>
        </w:rPr>
        <w:t xml:space="preserve">Frage 8:</w:t>
      </w:r>
      <w:r>
        <w:t xml:space="preserve"> </w:t>
      </w:r>
      <w:r>
        <w:t xml:space="preserve">Ist die Unitarität eine physikalische Tatsache oder eine metaphysische Annahme?</w:t>
      </w:r>
    </w:p>
    <w:p>
      <w:pPr>
        <w:pStyle w:val="BodyText"/>
      </w:pPr>
      <w:r>
        <w:rPr>
          <w:b/>
          <w:bCs/>
        </w:rPr>
        <w:t xml:space="preserve">Frage 9:</w:t>
      </w:r>
      <w:r>
        <w:t xml:space="preserve"> </w:t>
      </w:r>
      <w:r>
        <w:t xml:space="preserve">Wie verhält sich die formale Struktur zur empirischen Wirklichkeit?</w:t>
      </w:r>
    </w:p>
    <w:p>
      <w:pPr>
        <w:pStyle w:val="BodyText"/>
      </w:pPr>
      <w:r>
        <w:rPr>
          <w:b/>
          <w:bCs/>
        </w:rPr>
        <w:t xml:space="preserve">Frage 10:</w:t>
      </w:r>
      <w:r>
        <w:t xml:space="preserve"> </w:t>
      </w:r>
      <w:r>
        <w:t xml:space="preserve">Was bedeutet es, die Trinität zu</w:t>
      </w:r>
      <w:r>
        <w:t xml:space="preserve"> </w:t>
      </w:r>
      <w:r>
        <w:rPr>
          <w:b/>
          <w:bCs/>
        </w:rPr>
        <w:t xml:space="preserve">erkennen</w:t>
      </w:r>
      <w:r>
        <w:t xml:space="preserve"> </w:t>
      </w:r>
      <w:r>
        <w:t xml:space="preserve">— im Unterschied zum formalen Beweis?</w:t>
      </w:r>
    </w:p>
    <w:bookmarkEnd w:id="27"/>
    <w:bookmarkStart w:id="28" w:name="die-methodische-haltung"/>
    <w:p>
      <w:pPr>
        <w:pStyle w:val="Heading2"/>
      </w:pPr>
      <w:r>
        <w:t xml:space="preserve">Die methodische Haltung</w:t>
      </w:r>
    </w:p>
    <w:p>
      <w:pPr>
        <w:pStyle w:val="FirstParagraph"/>
      </w:pPr>
      <w:r>
        <w:t xml:space="preserve">Die Reihe hat eine</w:t>
      </w:r>
      <w:r>
        <w:t xml:space="preserve"> </w:t>
      </w:r>
      <w:r>
        <w:rPr>
          <w:b/>
          <w:bCs/>
        </w:rPr>
        <w:t xml:space="preserve">methodische Haltung</w:t>
      </w:r>
      <w:r>
        <w:t xml:space="preserve"> </w:t>
      </w:r>
      <w:r>
        <w:t xml:space="preserve">entwickelt:</w:t>
      </w:r>
    </w:p>
    <w:p>
      <w:pPr>
        <w:pStyle w:val="Compact"/>
        <w:numPr>
          <w:ilvl w:val="0"/>
          <w:numId w:val="1004"/>
        </w:numPr>
      </w:pPr>
      <w:r>
        <w:rPr>
          <w:b/>
          <w:bCs/>
        </w:rPr>
        <w:t xml:space="preserve">Bescheidenheit.</w:t>
      </w:r>
      <w:r>
        <w:t xml:space="preserve"> </w:t>
      </w:r>
      <w:r>
        <w:t xml:space="preserve">Die formale Arbeit ist nicht die Wahrheit.</w:t>
      </w:r>
    </w:p>
    <w:p>
      <w:pPr>
        <w:pStyle w:val="Compact"/>
        <w:numPr>
          <w:ilvl w:val="0"/>
          <w:numId w:val="1004"/>
        </w:numPr>
      </w:pPr>
      <w:r>
        <w:rPr>
          <w:b/>
          <w:bCs/>
        </w:rPr>
        <w:t xml:space="preserve">Offenheit.</w:t>
      </w:r>
      <w:r>
        <w:t xml:space="preserve"> </w:t>
      </w:r>
      <w:r>
        <w:t xml:space="preserve">Die Fragen bleiben offen.</w:t>
      </w:r>
    </w:p>
    <w:p>
      <w:pPr>
        <w:pStyle w:val="Compact"/>
        <w:numPr>
          <w:ilvl w:val="0"/>
          <w:numId w:val="1004"/>
        </w:numPr>
      </w:pPr>
      <w:r>
        <w:rPr>
          <w:b/>
          <w:bCs/>
        </w:rPr>
        <w:t xml:space="preserve">Strenge.</w:t>
      </w:r>
      <w:r>
        <w:t xml:space="preserve"> </w:t>
      </w:r>
      <w:r>
        <w:t xml:space="preserve">Die formalen Beweise sind rigoros.</w:t>
      </w:r>
    </w:p>
    <w:p>
      <w:pPr>
        <w:pStyle w:val="Compact"/>
        <w:numPr>
          <w:ilvl w:val="0"/>
          <w:numId w:val="1004"/>
        </w:numPr>
      </w:pPr>
      <w:r>
        <w:rPr>
          <w:b/>
          <w:bCs/>
        </w:rPr>
        <w:t xml:space="preserve">Bildhaftigkeit.</w:t>
      </w:r>
      <w:r>
        <w:t xml:space="preserve"> </w:t>
      </w:r>
      <w:r>
        <w:t xml:space="preserve">Die formalen Strukturen werden in Bildern zugänglich.</w:t>
      </w:r>
    </w:p>
    <w:bookmarkEnd w:id="28"/>
    <w:bookmarkStart w:id="29" w:name="was-bleibt"/>
    <w:p>
      <w:pPr>
        <w:pStyle w:val="Heading2"/>
      </w:pPr>
      <w:r>
        <w:t xml:space="preserve">Was bleibt</w:t>
      </w:r>
    </w:p>
    <w:p>
      <w:pPr>
        <w:pStyle w:val="FirstParagraph"/>
      </w:pPr>
      <w:r>
        <w:t xml:space="preserve">Was</w:t>
      </w:r>
      <w:r>
        <w:t xml:space="preserve"> </w:t>
      </w:r>
      <w:r>
        <w:rPr>
          <w:b/>
          <w:bCs/>
        </w:rPr>
        <w:t xml:space="preserve">bleibt</w:t>
      </w:r>
      <w:r>
        <w:t xml:space="preserve">, ist:</w:t>
      </w:r>
    </w:p>
    <w:p>
      <w:pPr>
        <w:pStyle w:val="Compact"/>
        <w:numPr>
          <w:ilvl w:val="0"/>
          <w:numId w:val="1005"/>
        </w:numPr>
      </w:pPr>
      <w:r>
        <w:rPr>
          <w:b/>
          <w:bCs/>
        </w:rPr>
        <w:t xml:space="preserve">Die Landkarte.</w:t>
      </w:r>
      <w:r>
        <w:t xml:space="preserve"> </w:t>
      </w:r>
      <w:r>
        <w:t xml:space="preserve">Die 17 Module zeichnen eine Landkarte der Trinität.</w:t>
      </w:r>
    </w:p>
    <w:p>
      <w:pPr>
        <w:pStyle w:val="Compact"/>
        <w:numPr>
          <w:ilvl w:val="0"/>
          <w:numId w:val="1005"/>
        </w:numPr>
      </w:pPr>
      <w:r>
        <w:rPr>
          <w:b/>
          <w:bCs/>
        </w:rPr>
        <w:t xml:space="preserve">Der eine Gedanke.</w:t>
      </w:r>
      <w:r>
        <w:t xml:space="preserve"> </w:t>
      </w:r>
      <w:r>
        <w:t xml:space="preserve">Die Trinität ist die Struktur, die alle Wege umfasst.</w:t>
      </w:r>
    </w:p>
    <w:p>
      <w:pPr>
        <w:pStyle w:val="Compact"/>
        <w:numPr>
          <w:ilvl w:val="0"/>
          <w:numId w:val="1005"/>
        </w:numPr>
      </w:pPr>
      <w:r>
        <w:rPr>
          <w:b/>
          <w:bCs/>
        </w:rPr>
        <w:t xml:space="preserve">Die Offenheit.</w:t>
      </w:r>
      <w:r>
        <w:t xml:space="preserve"> </w:t>
      </w:r>
      <w:r>
        <w:t xml:space="preserve">Wir stehen am Anfang der Unendlichkeit.</w:t>
      </w:r>
    </w:p>
    <w:p>
      <w:pPr>
        <w:pStyle w:val="Compact"/>
        <w:numPr>
          <w:ilvl w:val="0"/>
          <w:numId w:val="1005"/>
        </w:numPr>
      </w:pPr>
      <w:r>
        <w:rPr>
          <w:b/>
          <w:bCs/>
        </w:rPr>
        <w:t xml:space="preserve">Die Bescheidenheit.</w:t>
      </w:r>
      <w:r>
        <w:t xml:space="preserve"> </w:t>
      </w:r>
      <w:r>
        <w:t xml:space="preserve">Die Landkarte ist nicht das Territorium.</w:t>
      </w:r>
    </w:p>
    <w:bookmarkEnd w:id="29"/>
    <w:bookmarkEnd w:id="30"/>
    <w:bookmarkStart w:id="31" w:name="schluss-was-wurde-gezeigt"/>
    <w:p>
      <w:pPr>
        <w:pStyle w:val="Heading1"/>
      </w:pPr>
      <w:r>
        <w:t xml:space="preserve">Schluss: Was wurde gezeigt?</w:t>
      </w:r>
    </w:p>
    <w:p>
      <w:pPr>
        <w:pStyle w:val="FirstParagraph"/>
      </w:pPr>
      <w:r>
        <w:t xml:space="preserve">Die vorliegende Abhandlung hat die</w:t>
      </w:r>
      <w:r>
        <w:t xml:space="preserve"> </w:t>
      </w:r>
      <w:r>
        <w:rPr>
          <w:b/>
          <w:bCs/>
        </w:rPr>
        <w:t xml:space="preserve">Summe</w:t>
      </w:r>
      <w:r>
        <w:t xml:space="preserve"> </w:t>
      </w:r>
      <w:r>
        <w:t xml:space="preserve">aus 17 Modulen gezogen. Sie hat gezeigt:</w:t>
      </w:r>
    </w:p>
    <w:p>
      <w:pPr>
        <w:pStyle w:val="Compact"/>
        <w:numPr>
          <w:ilvl w:val="0"/>
          <w:numId w:val="1006"/>
        </w:numPr>
      </w:pPr>
      <w:r>
        <w:rPr>
          <w:b/>
          <w:bCs/>
        </w:rPr>
        <w:t xml:space="preserve">Die Reihe leistet eine Landkarte, nicht einen Beweis.</w:t>
      </w:r>
      <w:r>
        <w:t xml:space="preserve"> </w:t>
      </w:r>
      <w:r>
        <w:t xml:space="preserve">Sie zeigt Abhängigkeiten, Grenzen, offene Fragen.</w:t>
      </w:r>
    </w:p>
    <w:p>
      <w:pPr>
        <w:pStyle w:val="Compact"/>
        <w:numPr>
          <w:ilvl w:val="0"/>
          <w:numId w:val="1006"/>
        </w:numPr>
      </w:pPr>
      <w:r>
        <w:rPr>
          <w:b/>
          <w:bCs/>
        </w:rPr>
        <w:t xml:space="preserve">Der eine Gedanke trägt alle Abhandlungen:</w:t>
      </w:r>
      <w:r>
        <w:t xml:space="preserve"> </w:t>
      </w:r>
      <w:r>
        <w:t xml:space="preserve">Die Trinität ist die Struktur, die alle Wege umfasst.</w:t>
      </w:r>
    </w:p>
    <w:p>
      <w:pPr>
        <w:pStyle w:val="Compact"/>
        <w:numPr>
          <w:ilvl w:val="0"/>
          <w:numId w:val="1006"/>
        </w:numPr>
      </w:pPr>
      <w:r>
        <w:rPr>
          <w:b/>
          <w:bCs/>
        </w:rPr>
        <w:t xml:space="preserve">Die Bilder prägen die formale Arbeit:</w:t>
      </w:r>
      <w:r>
        <w:t xml:space="preserve"> </w:t>
      </w:r>
      <w:r>
        <w:t xml:space="preserve">Anfang der Unendlichkeit, Gutes als Grenzwert, Böses als Weg, strukturelle Integration.</w:t>
      </w:r>
    </w:p>
    <w:p>
      <w:pPr>
        <w:pStyle w:val="Compact"/>
        <w:numPr>
          <w:ilvl w:val="0"/>
          <w:numId w:val="1006"/>
        </w:numPr>
      </w:pPr>
      <w:r>
        <w:rPr>
          <w:b/>
          <w:bCs/>
        </w:rPr>
        <w:t xml:space="preserve">Die Fragen bleiben offen.</w:t>
      </w:r>
      <w:r>
        <w:t xml:space="preserve"> </w:t>
      </w:r>
      <w:r>
        <w:t xml:space="preserve">Wir stehen am Anfang der Unendlichkeit.</w:t>
      </w:r>
    </w:p>
    <w:p>
      <w:pPr>
        <w:pStyle w:val="FirstParagraph"/>
      </w:pPr>
      <w:r>
        <w:t xml:space="preserve">Die zentrale Aussage dieser Abhandlung lautet:</w:t>
      </w:r>
    </w:p>
    <w:p>
      <w:pPr>
        <w:pStyle w:val="BlockText"/>
      </w:pPr>
      <w:r>
        <w:rPr>
          <w:b/>
          <w:bCs/>
        </w:rPr>
        <w:t xml:space="preserve">Die Trinität ist die Struktur, die alle Wege umfasst — auch die, die nicht ankommen. Wir stehen am Anfang der Unendlichkeit.</w:t>
      </w:r>
    </w:p>
    <w:bookmarkEnd w:id="31"/>
    <w:bookmarkStart w:id="32" w:name="Xaa85d382ee347c31cd5b9e51c5681d45446ef5b"/>
    <w:p>
      <w:pPr>
        <w:pStyle w:val="Heading1"/>
      </w:pPr>
      <w:r>
        <w:t xml:space="preserve">Anhang A: Die 17 Module in einer Übersicht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Modal</w:t>
            </w:r>
          </w:p>
        </w:tc>
        <w:tc>
          <w:tcPr/>
          <w:p>
            <w:pPr>
              <w:pStyle w:val="Compact"/>
            </w:pPr>
            <w:r>
              <w:t xml:space="preserve">Titel</w:t>
            </w:r>
          </w:p>
        </w:tc>
        <w:tc>
          <w:tcPr/>
          <w:p>
            <w:pPr>
              <w:pStyle w:val="Compact"/>
            </w:pPr>
            <w:r>
              <w:t xml:space="preserve">Kern</w:t>
            </w:r>
          </w:p>
        </w:tc>
      </w:tr>
      <w:tr>
        <w:tc>
          <w:tcPr/>
          <w:p>
            <w:pPr>
              <w:pStyle w:val="Compact"/>
            </w:pPr>
            <w:r>
              <w:t xml:space="preserve">5</w:t>
            </w:r>
          </w:p>
        </w:tc>
        <w:tc>
          <w:tcPr/>
          <w:p>
            <w:pPr>
              <w:pStyle w:val="Compact"/>
            </w:pPr>
            <w:r>
              <w:t xml:space="preserve">Die Trinität als Konsequenz</w:t>
            </w:r>
          </w:p>
        </w:tc>
        <w:tc>
          <w:tcPr/>
          <w:p>
            <w:pPr>
              <w:pStyle w:val="Compact"/>
            </w:pPr>
            <w:r>
              <w:t xml:space="preserve">Metalogischer Kern</w:t>
            </w:r>
          </w:p>
        </w:tc>
      </w:tr>
      <w:tr>
        <w:tc>
          <w:tcPr/>
          <w:p>
            <w:pPr>
              <w:pStyle w:val="Compact"/>
            </w:pPr>
            <w:r>
              <w:t xml:space="preserve">6</w:t>
            </w:r>
          </w:p>
        </w:tc>
        <w:tc>
          <w:tcPr/>
          <w:p>
            <w:pPr>
              <w:pStyle w:val="Compact"/>
            </w:pPr>
            <w:r>
              <w:t xml:space="preserve">Die Minimalität</w:t>
            </w:r>
          </w:p>
        </w:tc>
        <w:tc>
          <w:tcPr/>
          <w:p>
            <w:pPr>
              <w:pStyle w:val="Compact"/>
            </w:pPr>
            <w:r>
              <w:t xml:space="preserve">ASP sind unabhängig</w:t>
            </w:r>
          </w:p>
        </w:tc>
      </w:tr>
      <w:tr>
        <w:tc>
          <w:tcPr/>
          <w:p>
            <w:pPr>
              <w:pStyle w:val="Compact"/>
            </w:pPr>
            <w:r>
              <w:t xml:space="preserve">7</w:t>
            </w:r>
          </w:p>
        </w:tc>
        <w:tc>
          <w:tcPr/>
          <w:p>
            <w:pPr>
              <w:pStyle w:val="Compact"/>
            </w:pPr>
            <w:r>
              <w:t xml:space="preserve">Die Nicht-Eindeutigkeit</w:t>
            </w:r>
          </w:p>
        </w:tc>
        <w:tc>
          <w:tcPr/>
          <w:p>
            <w:pPr>
              <w:pStyle w:val="Compact"/>
            </w:pPr>
            <w:r>
              <w:t xml:space="preserve">Axiomen-invarianz</w:t>
            </w:r>
          </w:p>
        </w:tc>
      </w:tr>
      <w:tr>
        <w:tc>
          <w:tcPr/>
          <w:p>
            <w:pPr>
              <w:pStyle w:val="Compact"/>
            </w:pPr>
            <w:r>
              <w:t xml:space="preserve">8</w:t>
            </w:r>
          </w:p>
        </w:tc>
        <w:tc>
          <w:tcPr/>
          <w:p>
            <w:pPr>
              <w:pStyle w:val="Compact"/>
            </w:pPr>
            <w:r>
              <w:t xml:space="preserve">Die Trinität als Grenzwert</w:t>
            </w:r>
          </w:p>
        </w:tc>
        <w:tc>
          <w:tcPr/>
          <w:p>
            <w:pPr>
              <w:pStyle w:val="Compact"/>
            </w:pPr>
            <w:r>
              <w:t xml:space="preserve">Topologische Modallogik</w:t>
            </w:r>
          </w:p>
        </w:tc>
      </w:tr>
      <w:tr>
        <w:tc>
          <w:tcPr/>
          <w:p>
            <w:pPr>
              <w:pStyle w:val="Compact"/>
            </w:pPr>
            <w:r>
              <w:t xml:space="preserve">9</w:t>
            </w:r>
          </w:p>
        </w:tc>
        <w:tc>
          <w:tcPr/>
          <w:p>
            <w:pPr>
              <w:pStyle w:val="Compact"/>
            </w:pPr>
            <w:r>
              <w:t xml:space="preserve">Zwei Perspektiven</w:t>
            </w:r>
          </w:p>
        </w:tc>
        <w:tc>
          <w:tcPr/>
          <w:p>
            <w:pPr>
              <w:pStyle w:val="Compact"/>
            </w:pPr>
            <w:r>
              <w:t xml:space="preserve">Bimodale Nicht-Vereinbarkeit</w:t>
            </w:r>
          </w:p>
        </w:tc>
      </w:tr>
      <w:tr>
        <w:tc>
          <w:tcPr/>
          <w:p>
            <w:pPr>
              <w:pStyle w:val="Compact"/>
            </w:pPr>
            <w:r>
              <w:t xml:space="preserve">10</w:t>
            </w:r>
          </w:p>
        </w:tc>
        <w:tc>
          <w:tcPr/>
          <w:p>
            <w:pPr>
              <w:pStyle w:val="Compact"/>
            </w:pPr>
            <w:r>
              <w:t xml:space="preserve">Unitarität als Theorem</w:t>
            </w:r>
          </w:p>
        </w:tc>
        <w:tc>
          <w:tcPr/>
          <w:p>
            <w:pPr>
              <w:pStyle w:val="Compact"/>
            </w:pPr>
            <w:r>
              <w:t xml:space="preserve">Informationserhaltung</w:t>
            </w:r>
          </w:p>
        </w:tc>
      </w:tr>
      <w:tr>
        <w:tc>
          <w:tcPr/>
          <w:p>
            <w:pPr>
              <w:pStyle w:val="Compact"/>
            </w:pPr>
            <w:r>
              <w:t xml:space="preserve">11</w:t>
            </w:r>
          </w:p>
        </w:tc>
        <w:tc>
          <w:tcPr/>
          <w:p>
            <w:pPr>
              <w:pStyle w:val="Compact"/>
            </w:pPr>
            <w:r>
              <w:t xml:space="preserve">Zeitlosigkeit und Gegenwart</w:t>
            </w:r>
          </w:p>
        </w:tc>
        <w:tc>
          <w:tcPr/>
          <w:p>
            <w:pPr>
              <w:pStyle w:val="Compact"/>
            </w:pPr>
            <w:r>
              <w:t xml:space="preserve">Temporale Modallogik</w:t>
            </w:r>
          </w:p>
        </w:tc>
      </w:tr>
      <w:tr>
        <w:tc>
          <w:tcPr/>
          <w:p>
            <w:pPr>
              <w:pStyle w:val="Compact"/>
            </w:pPr>
            <w:r>
              <w:t xml:space="preserve">12</w:t>
            </w:r>
          </w:p>
        </w:tc>
        <w:tc>
          <w:tcPr/>
          <w:p>
            <w:pPr>
              <w:pStyle w:val="Compact"/>
            </w:pPr>
            <w:r>
              <w:t xml:space="preserve">Das Böse als Weg</w:t>
            </w:r>
          </w:p>
        </w:tc>
        <w:tc>
          <w:tcPr/>
          <w:p>
            <w:pPr>
              <w:pStyle w:val="Compact"/>
            </w:pPr>
            <w:r>
              <w:t xml:space="preserve">Modallogik der Evolution</w:t>
            </w:r>
          </w:p>
        </w:tc>
      </w:tr>
      <w:tr>
        <w:tc>
          <w:tcPr/>
          <w:p>
            <w:pPr>
              <w:pStyle w:val="Compact"/>
            </w:pPr>
            <w:r>
              <w:t xml:space="preserve">13</w:t>
            </w:r>
          </w:p>
        </w:tc>
        <w:tc>
          <w:tcPr/>
          <w:p>
            <w:pPr>
              <w:pStyle w:val="Compact"/>
            </w:pPr>
            <w:r>
              <w:t xml:space="preserve">Der Beobachter</w:t>
            </w:r>
          </w:p>
        </w:tc>
        <w:tc>
          <w:tcPr/>
          <w:p>
            <w:pPr>
              <w:pStyle w:val="Compact"/>
            </w:pPr>
            <w:r>
              <w:t xml:space="preserve">B_D und B_V</w:t>
            </w:r>
          </w:p>
        </w:tc>
      </w:tr>
      <w:tr>
        <w:tc>
          <w:tcPr/>
          <w:p>
            <w:pPr>
              <w:pStyle w:val="Compact"/>
            </w:pPr>
            <w:r>
              <w:t xml:space="preserve">14</w:t>
            </w:r>
          </w:p>
        </w:tc>
        <w:tc>
          <w:tcPr/>
          <w:p>
            <w:pPr>
              <w:pStyle w:val="Compact"/>
            </w:pPr>
            <w:r>
              <w:t xml:space="preserve">Die Einheit der Perspektiven</w:t>
            </w:r>
          </w:p>
        </w:tc>
        <w:tc>
          <w:tcPr/>
          <w:p>
            <w:pPr>
              <w:pStyle w:val="Compact"/>
            </w:pPr>
            <w:r>
              <w:t xml:space="preserve">Konstitutive Einheit</w:t>
            </w:r>
          </w:p>
        </w:tc>
      </w:tr>
      <w:tr>
        <w:tc>
          <w:tcPr/>
          <w:p>
            <w:pPr>
              <w:pStyle w:val="Compact"/>
            </w:pPr>
            <w:r>
              <w:t xml:space="preserve">15</w:t>
            </w:r>
          </w:p>
        </w:tc>
        <w:tc>
          <w:tcPr/>
          <w:p>
            <w:pPr>
              <w:pStyle w:val="Compact"/>
            </w:pPr>
            <w:r>
              <w:t xml:space="preserve">Die Grenze des Formalen</w:t>
            </w:r>
          </w:p>
        </w:tc>
        <w:tc>
          <w:tcPr/>
          <w:p>
            <w:pPr>
              <w:pStyle w:val="Compact"/>
            </w:pPr>
            <w:r>
              <w:t xml:space="preserve">Drei Ebenen</w:t>
            </w:r>
          </w:p>
        </w:tc>
      </w:tr>
      <w:tr>
        <w:tc>
          <w:tcPr/>
          <w:p>
            <w:pPr>
              <w:pStyle w:val="Compact"/>
            </w:pPr>
            <w:r>
              <w:t xml:space="preserve">16</w:t>
            </w:r>
          </w:p>
        </w:tc>
        <w:tc>
          <w:tcPr/>
          <w:p>
            <w:pPr>
              <w:pStyle w:val="Compact"/>
            </w:pPr>
            <w:r>
              <w:t xml:space="preserve">Wege ohne Omega-Punkt</w:t>
            </w:r>
          </w:p>
        </w:tc>
        <w:tc>
          <w:tcPr/>
          <w:p>
            <w:pPr>
              <w:pStyle w:val="Compact"/>
            </w:pPr>
            <w:r>
              <w:t xml:space="preserve">Strukturelle Integration</w:t>
            </w:r>
          </w:p>
        </w:tc>
      </w:tr>
      <w:tr>
        <w:tc>
          <w:tcPr/>
          <w:p>
            <w:pPr>
              <w:pStyle w:val="Compact"/>
            </w:pPr>
            <w:r>
              <w:t xml:space="preserve">17</w:t>
            </w:r>
          </w:p>
        </w:tc>
        <w:tc>
          <w:tcPr/>
          <w:p>
            <w:pPr>
              <w:pStyle w:val="Compact"/>
            </w:pPr>
            <w:r>
              <w:t xml:space="preserve">Das Ganze in einem Gedanken</w:t>
            </w:r>
          </w:p>
        </w:tc>
        <w:tc>
          <w:tcPr/>
          <w:p>
            <w:pPr>
              <w:pStyle w:val="Compact"/>
            </w:pPr>
            <w:r>
              <w:t xml:space="preserve">Abschluss</w:t>
            </w:r>
          </w:p>
        </w:tc>
      </w:tr>
    </w:tbl>
    <w:bookmarkEnd w:id="32"/>
    <w:bookmarkStart w:id="33" w:name="anhang-b-die-vier-bilder"/>
    <w:p>
      <w:pPr>
        <w:pStyle w:val="Heading1"/>
      </w:pPr>
      <w:r>
        <w:t xml:space="preserve">Anhang B: Die vier Bilder</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Bild</w:t>
            </w:r>
          </w:p>
        </w:tc>
        <w:tc>
          <w:tcPr/>
          <w:p>
            <w:pPr>
              <w:pStyle w:val="Compact"/>
            </w:pPr>
            <w:r>
              <w:t xml:space="preserve">Formale Fassung</w:t>
            </w:r>
          </w:p>
        </w:tc>
        <w:tc>
          <w:tcPr/>
          <w:p>
            <w:pPr>
              <w:pStyle w:val="Compact"/>
            </w:pPr>
            <w:r>
              <w:t xml:space="preserve">Konsequenz</w:t>
            </w:r>
          </w:p>
        </w:tc>
      </w:tr>
      <w:tr>
        <w:tc>
          <w:tcPr/>
          <w:p>
            <w:pPr>
              <w:pStyle w:val="Compact"/>
            </w:pPr>
            <w:r>
              <w:t xml:space="preserve">Anfang der Unendlichkeit</w:t>
            </w:r>
          </w:p>
        </w:tc>
        <w:tc>
          <w:tcPr/>
          <w:p>
            <w:pPr>
              <w:pStyle w:val="Compact"/>
            </w:pPr>
            <w:r>
              <w:t xml:space="preserve">Kein letztes Axiom</w:t>
            </w:r>
          </w:p>
        </w:tc>
        <w:tc>
          <w:tcPr/>
          <w:p>
            <w:pPr>
              <w:pStyle w:val="Compact"/>
            </w:pPr>
            <w:r>
              <w:t xml:space="preserve">Offenheit</w:t>
            </w:r>
          </w:p>
        </w:tc>
      </w:tr>
      <w:tr>
        <w:tc>
          <w:tcPr/>
          <w:p>
            <w:pPr>
              <w:pStyle w:val="Compact"/>
            </w:pPr>
            <w:r>
              <w:t xml:space="preserve">Gutes als Grenzwert</w:t>
            </w:r>
          </w:p>
        </w:tc>
        <w:tc>
          <w:tcPr/>
          <w:p>
            <w:pPr>
              <w:pStyle w:val="Compact"/>
            </w:pPr>
            <m:oMath>
              <m:r>
                <m:rPr>
                  <m:nor/>
                  <m:sty m:val="p"/>
                </m:rPr>
                <m:t>Gut</m:t>
              </m:r>
              <m:box>
                <m:boxPr>
                  <m:opEmu m:val="on"/>
                </m:boxPr>
                <m:e>
                  <m:r>
                    <m:rPr>
                      <m:sty m:val="p"/>
                    </m:rPr>
                    <m:t>:=</m:t>
                  </m:r>
                </m:e>
              </m:box>
              <m:r>
                <m:t>S</m:t>
              </m:r>
            </m:oMath>
          </w:p>
        </w:tc>
        <w:tc>
          <w:tcPr/>
          <w:p>
            <w:pPr>
              <w:pStyle w:val="Compact"/>
            </w:pPr>
            <w:r>
              <w:t xml:space="preserve">Annäherung</w:t>
            </w:r>
          </w:p>
        </w:tc>
      </w:tr>
      <w:tr>
        <w:tc>
          <w:tcPr/>
          <w:p>
            <w:pPr>
              <w:pStyle w:val="Compact"/>
            </w:pPr>
            <w:r>
              <w:t xml:space="preserve">Böses als Weg</w:t>
            </w:r>
          </w:p>
        </w:tc>
        <w:tc>
          <w:tcPr/>
          <w:p>
            <w:pPr>
              <w:pStyle w:val="Compact"/>
            </w:pPr>
            <m:oMath>
              <m:r>
                <m:rPr>
                  <m:nor/>
                  <m:sty m:val="p"/>
                </m:rPr>
                <m:t>Böse</m:t>
              </m:r>
              <m:box>
                <m:boxPr>
                  <m:opEmu m:val="on"/>
                </m:boxPr>
                <m:e>
                  <m:r>
                    <m:rPr>
                      <m:sty m:val="p"/>
                    </m:rPr>
                    <m:t>:=</m:t>
                  </m:r>
                </m:e>
              </m:box>
              <m:r>
                <m:rPr>
                  <m:sty m:val="p"/>
                </m:rPr>
                <m:t>{</m:t>
              </m:r>
              <m:r>
                <m:t>γ</m:t>
              </m:r>
              <m:r>
                <m:rPr>
                  <m:sty m:val="p"/>
                </m:rPr>
                <m:t>:</m:t>
              </m:r>
              <m:r>
                <m:rPr>
                  <m:sty m:val="p"/>
                </m:rPr>
                <m:t>lim</m:t>
              </m:r>
              <m:r>
                <m:t>γ</m:t>
              </m:r>
              <m:r>
                <m:rPr>
                  <m:sty m:val="p"/>
                </m:rPr>
                <m:t>=</m:t>
              </m:r>
              <m:r>
                <m:t>S</m:t>
              </m:r>
              <m:r>
                <m:rPr>
                  <m:sty m:val="p"/>
                </m:rPr>
                <m:t>}</m:t>
              </m:r>
            </m:oMath>
          </w:p>
        </w:tc>
        <w:tc>
          <w:tcPr/>
          <w:p>
            <w:pPr>
              <w:pStyle w:val="Compact"/>
            </w:pPr>
            <w:r>
              <w:t xml:space="preserve">Genetisch</w:t>
            </w:r>
          </w:p>
        </w:tc>
      </w:tr>
      <w:tr>
        <w:tc>
          <w:tcPr/>
          <w:p>
            <w:pPr>
              <w:pStyle w:val="Compact"/>
            </w:pPr>
            <w:r>
              <w:t xml:space="preserve">Strukturelle Integration</w:t>
            </w:r>
          </w:p>
        </w:tc>
        <w:tc>
          <w:tcPr/>
          <w:p>
            <w:pPr>
              <w:pStyle w:val="Compact"/>
            </w:pPr>
            <m:oMath>
              <m:r>
                <m:rPr>
                  <m:sty m:val="p"/>
                </m:rPr>
                <m:t>∀</m:t>
              </m:r>
              <m:r>
                <m:t>γ</m:t>
              </m:r>
              <m:r>
                <m:rPr>
                  <m:sty m:val="p"/>
                </m:rPr>
                <m:t>⊆</m:t>
              </m:r>
              <m:r>
                <m:t>T</m:t>
              </m:r>
              <m:r>
                <m:rPr>
                  <m:sty m:val="p"/>
                </m:rPr>
                <m:t>:</m:t>
              </m:r>
              <m:r>
                <m:t>γ</m:t>
              </m:r>
              <m:r>
                <m:rPr>
                  <m:sty m:val="p"/>
                </m:rPr>
                <m:t>∈</m:t>
              </m:r>
              <m:r>
                <m:t>T</m:t>
              </m:r>
            </m:oMath>
          </w:p>
        </w:tc>
        <w:tc>
          <w:tcPr/>
          <w:p>
            <w:pPr>
              <w:pStyle w:val="Compact"/>
            </w:pPr>
            <w:r>
              <w:t xml:space="preserve">Kein Ereignis</w:t>
            </w:r>
          </w:p>
        </w:tc>
      </w:tr>
    </w:tbl>
    <w:bookmarkEnd w:id="33"/>
    <w:bookmarkStart w:id="34" w:name="anhang-c-die-zehn-offenen-fragen"/>
    <w:p>
      <w:pPr>
        <w:pStyle w:val="Heading1"/>
      </w:pPr>
      <w:r>
        <w:t xml:space="preserve">Anhang C: Die zehn offenen Fragen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Frage</w:t>
            </w:r>
          </w:p>
        </w:tc>
        <w:tc>
          <w:tcPr/>
          <w:p>
            <w:pPr>
              <w:pStyle w:val="Compact"/>
            </w:pPr>
            <w:r>
              <w:t xml:space="preserve">Bezug</w:t>
            </w:r>
          </w:p>
        </w:tc>
      </w:tr>
      <w:tr>
        <w:tc>
          <w:tcPr/>
          <w:p>
            <w:pPr>
              <w:pStyle w:val="Compact"/>
            </w:pPr>
            <w:r>
              <w:t xml:space="preserve">1</w:t>
            </w:r>
          </w:p>
        </w:tc>
        <w:tc>
          <w:tcPr/>
          <w:p>
            <w:pPr>
              <w:pStyle w:val="Compact"/>
            </w:pPr>
            <w:r>
              <w:t xml:space="preserve">Kanonische Erweiterung?</w:t>
            </w:r>
          </w:p>
        </w:tc>
      </w:tr>
      <w:tr>
        <w:tc>
          <w:tcPr/>
          <w:p>
            <w:pPr>
              <w:pStyle w:val="Compact"/>
            </w:pPr>
            <w:r>
              <w:t xml:space="preserve">2</w:t>
            </w:r>
          </w:p>
        </w:tc>
        <w:tc>
          <w:tcPr/>
          <w:p>
            <w:pPr>
              <w:pStyle w:val="Compact"/>
            </w:pPr>
            <w:r>
              <w:t xml:space="preserve">Wege ohne Omega-Punkt?</w:t>
            </w:r>
          </w:p>
        </w:tc>
      </w:tr>
      <w:tr>
        <w:tc>
          <w:tcPr/>
          <w:p>
            <w:pPr>
              <w:pStyle w:val="Compact"/>
            </w:pPr>
            <w:r>
              <w:t xml:space="preserve">3</w:t>
            </w:r>
          </w:p>
        </w:tc>
        <w:tc>
          <w:tcPr/>
          <w:p>
            <w:pPr>
              <w:pStyle w:val="Compact"/>
            </w:pPr>
            <w:r>
              <w:t xml:space="preserve">Was ist Leid?</w:t>
            </w:r>
          </w:p>
        </w:tc>
      </w:tr>
      <w:tr>
        <w:tc>
          <w:tcPr/>
          <w:p>
            <w:pPr>
              <w:pStyle w:val="Compact"/>
            </w:pPr>
            <w:r>
              <w:t xml:space="preserve">4</w:t>
            </w:r>
          </w:p>
        </w:tc>
        <w:tc>
          <w:tcPr/>
          <w:p>
            <w:pPr>
              <w:pStyle w:val="Compact"/>
            </w:pPr>
            <w:r>
              <w:t xml:space="preserve">Dritte Beobachterkonzeption?</w:t>
            </w:r>
          </w:p>
        </w:tc>
      </w:tr>
      <w:tr>
        <w:tc>
          <w:tcPr/>
          <w:p>
            <w:pPr>
              <w:pStyle w:val="Compact"/>
            </w:pPr>
            <w:r>
              <w:t xml:space="preserve">5</w:t>
            </w:r>
          </w:p>
        </w:tc>
        <w:tc>
          <w:tcPr/>
          <w:p>
            <w:pPr>
              <w:pStyle w:val="Compact"/>
            </w:pPr>
            <w:r>
              <w:t xml:space="preserve">Minimalität von K?</w:t>
            </w:r>
          </w:p>
        </w:tc>
      </w:tr>
      <w:tr>
        <w:tc>
          <w:tcPr/>
          <w:p>
            <w:pPr>
              <w:pStyle w:val="Compact"/>
            </w:pPr>
            <w:r>
              <w:t xml:space="preserve">6</w:t>
            </w:r>
          </w:p>
        </w:tc>
        <w:tc>
          <w:tcPr/>
          <w:p>
            <w:pPr>
              <w:pStyle w:val="Compact"/>
            </w:pPr>
            <w:r>
              <w:t xml:space="preserve">Z vs. □?</w:t>
            </w:r>
          </w:p>
        </w:tc>
      </w:tr>
      <w:tr>
        <w:tc>
          <w:tcPr/>
          <w:p>
            <w:pPr>
              <w:pStyle w:val="Compact"/>
            </w:pPr>
            <w:r>
              <w:t xml:space="preserve">7</w:t>
            </w:r>
          </w:p>
        </w:tc>
        <w:tc>
          <w:tcPr/>
          <w:p>
            <w:pPr>
              <w:pStyle w:val="Compact"/>
            </w:pPr>
            <w:r>
              <w:t xml:space="preserve">Nicht-konvergierende Perspektiven?</w:t>
            </w:r>
          </w:p>
        </w:tc>
      </w:tr>
      <w:tr>
        <w:tc>
          <w:tcPr/>
          <w:p>
            <w:pPr>
              <w:pStyle w:val="Compact"/>
            </w:pPr>
            <w:r>
              <w:t xml:space="preserve">8</w:t>
            </w:r>
          </w:p>
        </w:tc>
        <w:tc>
          <w:tcPr/>
          <w:p>
            <w:pPr>
              <w:pStyle w:val="Compact"/>
            </w:pPr>
            <w:r>
              <w:t xml:space="preserve">Unitarität physikalisch?</w:t>
            </w:r>
          </w:p>
        </w:tc>
      </w:tr>
      <w:tr>
        <w:tc>
          <w:tcPr/>
          <w:p>
            <w:pPr>
              <w:pStyle w:val="Compact"/>
            </w:pPr>
            <w:r>
              <w:t xml:space="preserve">9</w:t>
            </w:r>
          </w:p>
        </w:tc>
        <w:tc>
          <w:tcPr/>
          <w:p>
            <w:pPr>
              <w:pStyle w:val="Compact"/>
            </w:pPr>
            <w:r>
              <w:t xml:space="preserve">Empirische Wirklichkeit?</w:t>
            </w:r>
          </w:p>
        </w:tc>
      </w:tr>
      <w:tr>
        <w:tc>
          <w:tcPr/>
          <w:p>
            <w:pPr>
              <w:pStyle w:val="Compact"/>
            </w:pPr>
            <w:r>
              <w:t xml:space="preserve">10</w:t>
            </w:r>
          </w:p>
        </w:tc>
        <w:tc>
          <w:tcPr/>
          <w:p>
            <w:pPr>
              <w:pStyle w:val="Compact"/>
            </w:pPr>
            <w:r>
              <w:t xml:space="preserve">Erkennen vs. Beweisen?</w:t>
            </w:r>
          </w:p>
        </w:tc>
      </w:tr>
    </w:tbl>
    <w:bookmarkEnd w:id="34"/>
    <w:bookmarkStart w:id="35" w:name="Xe696aa6d5b026f0cb1cc077af3e8978e7e2e930"/>
    <w:p>
      <w:pPr>
        <w:pStyle w:val="Heading1"/>
      </w:pPr>
      <w:r>
        <w:t xml:space="preserve">Nachwort: Wir stehen am Anfang der Unendlichkeit</w:t>
      </w:r>
    </w:p>
    <w:p>
      <w:pPr>
        <w:pStyle w:val="FirstParagraph"/>
      </w:pPr>
      <w:r>
        <w:t xml:space="preserve">Sie haben diese Abhandlung gelesen. Sie ist die</w:t>
      </w:r>
      <w:r>
        <w:t xml:space="preserve"> </w:t>
      </w:r>
      <w:r>
        <w:rPr>
          <w:b/>
          <w:bCs/>
        </w:rPr>
        <w:t xml:space="preserve">letzte</w:t>
      </w:r>
      <w:r>
        <w:t xml:space="preserve"> </w:t>
      </w:r>
      <w:r>
        <w:t xml:space="preserve">der Reihe — jedenfalls der formalen Reihe.</w:t>
      </w:r>
    </w:p>
    <w:p>
      <w:pPr>
        <w:pStyle w:val="BodyText"/>
      </w:pPr>
      <w:r>
        <w:t xml:space="preserve">Was</w:t>
      </w:r>
      <w:r>
        <w:t xml:space="preserve"> </w:t>
      </w:r>
      <w:r>
        <w:rPr>
          <w:b/>
          <w:bCs/>
        </w:rPr>
        <w:t xml:space="preserve">bleibt</w:t>
      </w:r>
      <w:r>
        <w:t xml:space="preserve">, ist die Einsicht, dass die formale Arbeit</w:t>
      </w:r>
      <w:r>
        <w:t xml:space="preserve"> </w:t>
      </w:r>
      <w:r>
        <w:rPr>
          <w:b/>
          <w:bCs/>
        </w:rPr>
        <w:t xml:space="preserve">ihr Werk getan hat</w:t>
      </w:r>
      <w:r>
        <w:t xml:space="preserve">. Sie hat die Trinität als formale Struktur entfaltet. Sie hat die Abhängigkeiten zwischen Axiomen aufgezeigt. Sie hat die Grenzen der Formalisierung markiert.</w:t>
      </w:r>
    </w:p>
    <w:p>
      <w:pPr>
        <w:pStyle w:val="BodyText"/>
      </w:pPr>
      <w:r>
        <w:t xml:space="preserve">Was</w:t>
      </w:r>
      <w:r>
        <w:t xml:space="preserve"> </w:t>
      </w:r>
      <w:r>
        <w:rPr>
          <w:b/>
          <w:bCs/>
        </w:rPr>
        <w:t xml:space="preserve">nicht bleibt</w:t>
      </w:r>
      <w:r>
        <w:t xml:space="preserve">, ist der Anspruch, die</w:t>
      </w:r>
      <w:r>
        <w:t xml:space="preserve"> </w:t>
      </w:r>
      <w:r>
        <w:rPr>
          <w:b/>
          <w:bCs/>
        </w:rPr>
        <w:t xml:space="preserve">Wahrheit</w:t>
      </w:r>
      <w:r>
        <w:t xml:space="preserve"> </w:t>
      </w:r>
      <w:r>
        <w:t xml:space="preserve">zu sein. Die formale Arbeit ist eine</w:t>
      </w:r>
      <w:r>
        <w:t xml:space="preserve"> </w:t>
      </w:r>
      <w:r>
        <w:rPr>
          <w:b/>
          <w:bCs/>
        </w:rPr>
        <w:t xml:space="preserve">Vorbereitung</w:t>
      </w:r>
      <w:r>
        <w:t xml:space="preserve"> </w:t>
      </w:r>
      <w:r>
        <w:t xml:space="preserve">— für Metaphysik, Physik, Hermeneutik.</w:t>
      </w:r>
    </w:p>
    <w:p>
      <w:pPr>
        <w:pStyle w:val="BodyText"/>
      </w:pPr>
      <w:r>
        <w:t xml:space="preserve">Was</w:t>
      </w:r>
      <w:r>
        <w:t xml:space="preserve"> </w:t>
      </w:r>
      <w:r>
        <w:rPr>
          <w:b/>
          <w:bCs/>
        </w:rPr>
        <w:t xml:space="preserve">dennoch bleibt</w:t>
      </w:r>
      <w:r>
        <w:t xml:space="preserve">, ist der</w:t>
      </w:r>
      <w:r>
        <w:t xml:space="preserve"> </w:t>
      </w:r>
      <w:r>
        <w:rPr>
          <w:b/>
          <w:bCs/>
        </w:rPr>
        <w:t xml:space="preserve">eine Gedanke</w:t>
      </w:r>
      <w:r>
        <w:t xml:space="preserve">:</w:t>
      </w:r>
    </w:p>
    <w:p>
      <w:pPr>
        <w:pStyle w:val="BlockText"/>
      </w:pPr>
      <w:r>
        <w:rPr>
          <w:b/>
          <w:bCs/>
        </w:rPr>
        <w:t xml:space="preserve">Die Trinität ist die Struktur, die alle Wege umfasst — auch die, die nicht ankommen.</w:t>
      </w:r>
    </w:p>
    <w:p>
      <w:pPr>
        <w:pStyle w:val="FirstParagraph"/>
      </w:pPr>
      <w:r>
        <w:t xml:space="preserve">Dieser Gedanke trägt alle 17 Module. Er trägt über sie hinaus. Er ist die</w:t>
      </w:r>
      <w:r>
        <w:t xml:space="preserve"> </w:t>
      </w:r>
      <w:r>
        <w:rPr>
          <w:b/>
          <w:bCs/>
        </w:rPr>
        <w:t xml:space="preserve">Mitte</w:t>
      </w:r>
      <w:r>
        <w:t xml:space="preserve"> </w:t>
      </w:r>
      <w:r>
        <w:t xml:space="preserve">der Reihe.</w:t>
      </w:r>
    </w:p>
    <w:p>
      <w:pPr>
        <w:pStyle w:val="BodyText"/>
      </w:pPr>
      <w:r>
        <w:t xml:space="preserve">Eine letzte Frage:</w:t>
      </w:r>
    </w:p>
    <w:p>
      <w:pPr>
        <w:pStyle w:val="BlockText"/>
      </w:pPr>
      <w:r>
        <w:rPr>
          <w:b/>
          <w:bCs/>
        </w:rPr>
        <w:t xml:space="preserve">Wagen wir den Sprung in die Offenheit für den Grenzwert — auch wenn der Grenzwert selbst nicht formal erreichbar ist, sondern nur in der Sprache der Philosophie umkreist werden kann?</w:t>
      </w:r>
    </w:p>
    <w:p>
      <w:pPr>
        <w:pStyle w:val="FirstParagraph"/>
      </w:pPr>
      <w:r>
        <w:t xml:space="preserve">Wir stehen am Anfang der Unendlichkeit.</w:t>
      </w:r>
    </w:p>
    <w:p>
      <w:pPr>
        <w:pStyle w:val="BodyText"/>
      </w:pPr>
      <w:r>
        <w:rPr>
          <w:i/>
          <w:iCs/>
        </w:rPr>
        <w:t xml:space="preserve">Diese Abhandlung wurde im Geiste strenger Modallogik verfasst, jedoch in der Sprache der Philosophie – denn die Wahrheit bedarf beider: der Präzision der Formel und der Weite des Begriffs.</w:t>
      </w:r>
    </w:p>
    <w:bookmarkEnd w:id="3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Ganze in einem Gedanken Abschluss der modallogischen Reihe</dc:title>
  <dc:creator>Paul Koop</dc:creator>
  <dc:language>de</dc:language>
  <cp:keywords/>
  <dcterms:created xsi:type="dcterms:W3CDTF">2026-09-26T13:06:40Z</dcterms:created>
  <dcterms:modified xsi:type="dcterms:W3CDTF">2026-09-26T13:06:40Z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Die Abhandlung zieht die Summe aus 17 Modulen. Sie zeigt: Was die Reihe leistet, ist nicht ein Beweis, sondern eine Landkarte. Sie zeigt die Abhängigkeiten zwischen Axiomen, die Grenzen der Formalisierung, die offenen Fragen. Und sie formuliert den einen Gedanken, der alle Abhandlungen trägt: Die Trinität ist die Struktur, die alle Wege umfasst — auch die, die nicht ankommen. Wir stehen am Anfang der Unendlichkeit.</vt:lpwstr>
  </property>
  <property fmtid="{D5CDD505-2E9C-101B-9397-08002B2CF9AE}" pid="3" name="subtitle">
    <vt:lpwstr>Abschluss der modallogischen Reihe</vt:lpwstr>
  </property>
  <property fmtid="{D5CDD505-2E9C-101B-9397-08002B2CF9AE}" pid="4" name="version">
    <vt:lpwstr>17</vt:lpwstr>
  </property>
</Properties>
</file>