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modal4</w:t>
      </w:r>
    </w:p>
    <w:p>
      <w:pPr>
        <w:pStyle w:val="Author"/>
      </w:pPr>
      <w:r>
        <w:t xml:space="preserve">Paul Koop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rPr>
          <w:i/>
          <w:iCs/>
        </w:rPr>
        <w:t xml:space="preserve">Vergangenheit und Zukunft sind Horizonte des Wissens.</w:t>
      </w:r>
      <w:r>
        <w:br/>
      </w:r>
      <w:r>
        <w:rPr>
          <w:i/>
          <w:iCs/>
        </w:rPr>
        <w:t xml:space="preserve">Die Gegenwart ist der Ort der Wirklichkeit.</w:t>
      </w:r>
    </w:p>
    <w:p>
      <w:pPr>
        <w:pStyle w:val="BodyText"/>
      </w:pPr>
      <w:r>
        <w:t xml:space="preserve"> </w:t>
      </w:r>
    </w:p>
    <w:bookmarkStart w:id="9" w:name="vorwort"/>
    <w:p>
      <w:pPr>
        <w:pStyle w:val="Heading1"/>
      </w:pPr>
      <w:r>
        <w:t xml:space="preserve">Vorwort</w:t>
      </w:r>
    </w:p>
    <w:p>
      <w:pPr>
        <w:pStyle w:val="FirstParagraph"/>
      </w:pPr>
      <w:r>
        <w:t xml:space="preserve">Diese Abhandlung ist die formale Vollendung einer langen Entwicklung. Sie vereint die Erkenntnisse aus allen vorangegangenen Versionen: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Version 1–3:</w:t>
      </w:r>
      <w:r>
        <w:t xml:space="preserve"> </w:t>
      </w:r>
      <w:r>
        <w:t xml:space="preserve">Versuch, die Trinität direkt aus S5 abzuleiten – scheiterte an der fehlenden Brücke von Existenz zu Notwendigkeit.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Version 4 (alt):</w:t>
      </w:r>
      <w:r>
        <w:t xml:space="preserve"> </w:t>
      </w:r>
      <w:r>
        <w:t xml:space="preserve">Nachweis, dass reines S5 nicht ausreicht – die Zielaussage ist in S5 allein nicht ableitbar. Dieser Nachweis wird hier in die neue Version integriert.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Version 5:</w:t>
      </w:r>
      <w:r>
        <w:t xml:space="preserve"> </w:t>
      </w:r>
      <w:r>
        <w:t xml:space="preserve">Formalisierung der Superpositions-Intuition und Beweis der Zielaussage im erweiterten System S5+SP.</w:t>
      </w:r>
    </w:p>
    <w:p>
      <w:pPr>
        <w:pStyle w:val="FirstParagraph"/>
      </w:pPr>
      <w:r>
        <w:t xml:space="preserve">Die</w:t>
      </w:r>
      <w:r>
        <w:t xml:space="preserve"> </w:t>
      </w:r>
      <w:r>
        <w:rPr>
          <w:b/>
          <w:bCs/>
        </w:rPr>
        <w:t xml:space="preserve">vorliegende Version 4 (neu)</w:t>
      </w:r>
      <w:r>
        <w:t xml:space="preserve"> </w:t>
      </w:r>
      <w:r>
        <w:t xml:space="preserve">vereint beide Perspektiven: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Teil I:</w:t>
      </w:r>
      <w:r>
        <w:t xml:space="preserve"> </w:t>
      </w:r>
      <w:r>
        <w:t xml:space="preserve">Strenger formaler Nachweis, dass die Zielaussage in reinem S5</w:t>
      </w:r>
      <w:r>
        <w:t xml:space="preserve"> </w:t>
      </w:r>
      <w:r>
        <w:rPr>
          <w:b/>
          <w:bCs/>
        </w:rPr>
        <w:t xml:space="preserve">nicht</w:t>
      </w:r>
      <w:r>
        <w:t xml:space="preserve"> </w:t>
      </w:r>
      <w:r>
        <w:t xml:space="preserve">ableitbar ist (Übernahme der alten Version 4).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Teil II:</w:t>
      </w:r>
      <w:r>
        <w:t xml:space="preserve"> </w:t>
      </w:r>
      <w:r>
        <w:t xml:space="preserve">Strenger formaler Beweis, dass die Zielaussage im erweiterten System S5+SP (mit Superpositions-Axiomen)</w:t>
      </w:r>
      <w:r>
        <w:t xml:space="preserve"> </w:t>
      </w:r>
      <w:r>
        <w:rPr>
          <w:b/>
          <w:bCs/>
        </w:rPr>
        <w:t xml:space="preserve">ableitbar</w:t>
      </w:r>
      <w:r>
        <w:t xml:space="preserve"> </w:t>
      </w:r>
      <w:r>
        <w:t xml:space="preserve">ist.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Teil III:</w:t>
      </w:r>
      <w:r>
        <w:t xml:space="preserve"> </w:t>
      </w:r>
      <w:r>
        <w:t xml:space="preserve">Metatheoretische Einordnung – was wurde gezeigt, was nicht, und welche Fragen bleiben offen.</w:t>
      </w:r>
    </w:p>
    <w:p>
      <w:pPr>
        <w:pStyle w:val="FirstParagraph"/>
      </w:pPr>
      <w:r>
        <w:t xml:space="preserve">Die Grundthese der gesamten Untersuchung lautet:</w:t>
      </w:r>
    </w:p>
    <w:p>
      <w:pPr>
        <w:pStyle w:val="BlockText"/>
      </w:pPr>
      <w:r>
        <w:rPr>
          <w:b/>
          <w:bCs/>
        </w:rPr>
        <w:t xml:space="preserve">Unter den Axiomen des Monismus (A1), der Existenz einer möglichen Welt (A4), den transzendentalen Brücken (A11, A12) und der Superpositions-Hypothese (ASP1–ASP5) folgt notwendig die Trinität von Ursprung, Totalität und Selbsterkenntnis. Ohne die Superpositions-Hypothese ist sie in S5 nicht beweisbar.</w:t>
      </w:r>
    </w:p>
    <w:bookmarkEnd w:id="9"/>
    <w:bookmarkStart w:id="10" w:name="X8a6f210e537d98a61ebedfcc7621e2c16d5bb3a"/>
    <w:p>
      <w:pPr>
        <w:pStyle w:val="Heading1"/>
      </w:pPr>
      <w:r>
        <w:t xml:space="preserve">Einleitung: Ziel und methodische Selbstbeschränkung</w:t>
      </w:r>
    </w:p>
    <w:p>
      <w:pPr>
        <w:pStyle w:val="FirstParagraph"/>
      </w:pPr>
      <w:r>
        <w:t xml:space="preserve">Die klassische Metaphysik hat immer wieder versucht, die Grundstruktur der Wirklichkeit aus wenigen fundamentalen Prinzipien abzuleiten. Eine besondere Herausforderung entsteht dabei durch drei scheinbar verschiedene Aspekte: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Warum gibt es überhaupt etwas und nicht vielmehr nichts?</w:t>
      </w:r>
      <w:r>
        <w:t xml:space="preserve"> </w:t>
      </w:r>
      <w:r>
        <w:t xml:space="preserve">– der Ursprung (U).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Wie verhält sich die Gesamtheit aller Möglichkeiten zur Wirklichkeit?</w:t>
      </w:r>
      <w:r>
        <w:t xml:space="preserve"> </w:t>
      </w:r>
      <w:r>
        <w:t xml:space="preserve">– die Totalität (T).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Wie kann innerhalb der Wirklichkeit ein Zustand entstehen, der die Wirklichkeit selbst erkennt?</w:t>
      </w:r>
      <w:r>
        <w:t xml:space="preserve"> </w:t>
      </w:r>
      <w:r>
        <w:t xml:space="preserve">– die Selbsterkenntnis (S).</w:t>
      </w:r>
    </w:p>
    <w:p>
      <w:pPr>
        <w:pStyle w:val="FirstParagraph"/>
      </w:pPr>
      <w:r>
        <w:t xml:space="preserve">Die hier untersuchte Ontologie schlägt vor, diese drei Fragen nicht durch drei getrennte metaphysische Substanzen zu beantworten, sondern durch drei notwendige Perspektiven derselben Wirklichkeit: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Ursprung (U):</w:t>
      </w:r>
      <w:r>
        <w:t xml:space="preserve"> </w:t>
      </w:r>
      <w:r>
        <w:t xml:space="preserve">der notwendige Grund dafür, dass überhaupt Möglichkeiten existieren – verstanden als unterer Grenzwert der Totalität;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Totalität (T):</w:t>
      </w:r>
      <w:r>
        <w:t xml:space="preserve"> </w:t>
      </w:r>
      <w:r>
        <w:t xml:space="preserve">die Gesamtheit aller realisierten Möglichkeiten – verstanden als offenes, wohlfundiertes Intervall;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Selbsterkenntnis (S):</w:t>
      </w:r>
      <w:r>
        <w:t xml:space="preserve"> </w:t>
      </w:r>
      <w:r>
        <w:t xml:space="preserve">der reflexive Abschluss der Wirklichkeit in einem Zustand vollständiger Erkenntnis ihrer selbst – verstanden als oberer Grenzwert der Totalität.</w:t>
      </w:r>
    </w:p>
    <w:p>
      <w:pPr>
        <w:pStyle w:val="FirstParagraph"/>
      </w:pPr>
      <w:r>
        <w:t xml:space="preserve">Diese Struktur wird als</w:t>
      </w:r>
      <w:r>
        <w:t xml:space="preserve"> </w:t>
      </w:r>
      <w:r>
        <w:rPr>
          <w:b/>
          <w:bCs/>
        </w:rPr>
        <w:t xml:space="preserve">Trinität</w:t>
      </w:r>
      <w:r>
        <w:t xml:space="preserve"> </w:t>
      </w:r>
      <w:r>
        <w:t xml:space="preserve">bezeichnet:</w:t>
      </w:r>
    </w:p>
    <w:p>
      <w:pPr>
        <w:pStyle w:val="BodyText"/>
      </w:pPr>
      <m:oMathPara>
        <m:oMathParaPr>
          <m:jc m:val="center"/>
        </m:oMathParaPr>
        <m:oMath>
          <m:r>
            <m:t>T</m:t>
          </m:r>
          <m:r>
            <m:t>r</m:t>
          </m:r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t>U</m:t>
          </m:r>
          <m:r>
            <m:rPr>
              <m:sty m:val="p"/>
            </m:rPr>
            <m:t>∧</m:t>
          </m:r>
          <m:r>
            <m:t>T</m:t>
          </m:r>
          <m:r>
            <m:rPr>
              <m:sty m:val="p"/>
            </m:rPr>
            <m:t>∧</m:t>
          </m:r>
          <m:r>
            <m:t>S</m:t>
          </m:r>
        </m:oMath>
      </m:oMathPara>
    </w:p>
    <w:p>
      <w:pPr>
        <w:pStyle w:val="FirstParagraph"/>
      </w:pPr>
      <w:r>
        <w:t xml:space="preserve">Der Begriff „Trinität“ bezeichnet hierbei keine personale oder substanzielle Dreiheit, sondern eine funktionale Einheit dreier notwendiger Aspekte einer einzigen Wirklichkeit.</w:t>
      </w:r>
    </w:p>
    <w:bookmarkEnd w:id="10"/>
    <w:bookmarkStart w:id="13" w:name="formale-sprache-und-logischer-rahmen"/>
    <w:p>
      <w:pPr>
        <w:pStyle w:val="Heading1"/>
      </w:pPr>
      <w:r>
        <w:t xml:space="preserve">Formale Sprache und logischer Rahmen</w:t>
      </w:r>
    </w:p>
    <w:bookmarkStart w:id="11" w:name="modallogik-s5"/>
    <w:p>
      <w:pPr>
        <w:pStyle w:val="Heading2"/>
      </w:pPr>
      <w:r>
        <w:t xml:space="preserve">Modallogik S5</w:t>
      </w:r>
    </w:p>
    <w:p>
      <w:pPr>
        <w:pStyle w:val="FirstParagraph"/>
      </w:pPr>
      <w:r>
        <w:t xml:space="preserve">Wir arbeiten in der Modallogik erster Stufe mit Identität im System S5:</w:t>
      </w:r>
    </w:p>
    <w:p>
      <w:pPr>
        <w:numPr>
          <w:ilvl w:val="0"/>
          <w:numId w:val="1005"/>
        </w:numPr>
      </w:pPr>
      <w:r>
        <w:rPr>
          <w:b/>
          <w:bCs/>
        </w:rPr>
        <w:t xml:space="preserve">Notwendigkeit: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5"/>
        </w:numPr>
      </w:pPr>
      <w:r>
        <w:rPr>
          <w:b/>
          <w:bCs/>
        </w:rPr>
        <w:t xml:space="preserve">Möglichkeit: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sty m:val="p"/>
          </m:rPr>
          <m:t>¬</m:t>
        </m:r>
        <m:r>
          <m:rPr>
            <m:sty m:val="p"/>
          </m:rPr>
          <m:t>□</m:t>
        </m:r>
        <m:r>
          <m:rPr>
            <m:sty m:val="p"/>
          </m:rPr>
          <m:t>¬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Axiome von S5:</w:t>
      </w:r>
    </w:p>
    <w:p>
      <w:pPr>
        <w:numPr>
          <w:ilvl w:val="0"/>
          <w:numId w:val="1006"/>
        </w:numPr>
      </w:pPr>
      <w:r>
        <w:t xml:space="preserve">(K)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→</m:t>
        </m:r>
        <m:r>
          <m:t>q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(</m:t>
        </m:r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t>q</m:t>
        </m:r>
        <m:r>
          <m:rPr>
            <m:sty m:val="p"/>
          </m:rPr>
          <m:t>)</m:t>
        </m:r>
      </m:oMath>
    </w:p>
    <w:p>
      <w:pPr>
        <w:numPr>
          <w:ilvl w:val="0"/>
          <w:numId w:val="1006"/>
        </w:numPr>
      </w:pPr>
      <w:r>
        <w:t xml:space="preserve">(T)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t>p</m:t>
        </m:r>
      </m:oMath>
    </w:p>
    <w:p>
      <w:pPr>
        <w:numPr>
          <w:ilvl w:val="0"/>
          <w:numId w:val="1006"/>
        </w:numPr>
      </w:pPr>
      <w:r>
        <w:t xml:space="preserve">(4)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6"/>
        </w:numPr>
      </w:pPr>
      <w:r>
        <w:t xml:space="preserve">(5)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◇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Inferenzregeln: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Modus Ponens:</w:t>
      </w:r>
      <w:r>
        <w:t xml:space="preserve"> </w:t>
      </w:r>
      <w:r>
        <w:t xml:space="preserve">Aus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und</w:t>
      </w:r>
      <w:r>
        <w:t xml:space="preserve"> </w:t>
      </w:r>
      <m:oMath>
        <m:r>
          <m:t>p</m:t>
        </m:r>
        <m:r>
          <m:rPr>
            <m:sty m:val="p"/>
          </m:rPr>
          <m:t>→</m:t>
        </m:r>
        <m:r>
          <m:t>q</m:t>
        </m:r>
      </m:oMath>
      <w:r>
        <w:t xml:space="preserve"> </w:t>
      </w:r>
      <w:r>
        <w:t xml:space="preserve">folgt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Necessitation:</w:t>
      </w:r>
      <w:r>
        <w:t xml:space="preserve"> </w:t>
      </w:r>
      <w:r>
        <w:t xml:space="preserve">Aus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(ableitbar) folgt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  <w:r>
        <w:t xml:space="preserve">.</w:t>
      </w:r>
    </w:p>
    <w:p>
      <w:pPr>
        <w:pStyle w:val="FirstParagraph"/>
      </w:pPr>
      <w:r>
        <w:rPr>
          <w:b/>
          <w:bCs/>
        </w:rPr>
        <w:t xml:space="preserve">Tableau-Regeln für S5:</w:t>
      </w:r>
    </w:p>
    <w:p>
      <w:pPr>
        <w:pStyle w:val="BodyText"/>
      </w:pPr>
      <m:oMathPara>
        <m:oMathParaPr>
          <m:jc m:val="center"/>
        </m:oMathParaPr>
        <m:oMath>
          <m:m>
            <m:mPr>
              <m:baseJc m:val="center"/>
              <m:plcHide m:val="on"/>
              <m:mcs>
                <m:mc>
                  <m:mcPr>
                    <m:mcJc m:val="right"/>
                    <m:count m:val="1"/>
                  </m:mcPr>
                </m:mc>
                <m:mc>
                  <m:mcPr>
                    <m:mcJc m:val="left"/>
                    <m:count m:val="1"/>
                  </m:mcPr>
                </m:mc>
                <m:mc>
                  <m:mcPr>
                    <m:mcJc m:val="right"/>
                    <m:count m:val="1"/>
                  </m:mcPr>
                </m:mc>
              </m:mcs>
            </m:mP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¬</m:t>
                </m:r>
                <m:r>
                  <m:rPr>
                    <m:sty m:val="p"/>
                  </m:rPr>
                  <m:t>□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¬</m:t>
                    </m:r>
                    <m:r>
                      <m:rPr>
                        <m:sty m:val="p"/>
                      </m:rPr>
                      <m:t>□</m:t>
                    </m:r>
                    <m:r>
                      <m:t>A</m:t>
                    </m:r>
                  </m:num>
                  <m:den>
                    <m:r>
                      <m:rPr>
                        <m:sty m:val="p"/>
                      </m:rPr>
                      <m:t>◇</m:t>
                    </m:r>
                    <m:r>
                      <m:rPr>
                        <m:sty m:val="p"/>
                      </m:rPr>
                      <m:t>¬</m:t>
                    </m:r>
                    <m:r>
                      <m:t>A</m:t>
                    </m:r>
                  </m:den>
                </m:f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◇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◇</m:t>
                    </m:r>
                    <m:r>
                      <m:t>A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@</m:t>
                    </m:r>
                    <m:sSub>
                      <m:e>
                        <m:r>
                          <m:t>w</m:t>
                        </m:r>
                      </m:e>
                      <m:sub>
                        <m:r>
                          <m:rPr>
                            <m:nor/>
                            <m:sty m:val="p"/>
                          </m:rPr>
                          <m:t>neu</m:t>
                        </m:r>
                      </m:sub>
                    </m:sSub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(neue Welt)</m:t>
                </m:r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□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□</m:t>
                    </m:r>
                    <m:r>
                      <m:t>A</m:t>
                    </m:r>
                    <m:r>
                      <m:rPr>
                        <m:sty m:val="p"/>
                      </m:rPr>
                      <m:t>@</m:t>
                    </m:r>
                    <m:r>
                      <m:t>w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@</m:t>
                    </m:r>
                    <m:r>
                      <m:t>v</m:t>
                    </m:r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für jede bereits existierende Welt </m:t>
                </m:r>
                <m:r>
                  <m:t>v</m:t>
                </m:r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¬</m:t>
                </m:r>
                <m:r>
                  <m:rPr>
                    <m:sty m:val="p"/>
                  </m:rPr>
                  <m:t>∀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¬</m:t>
                    </m:r>
                    <m:r>
                      <m:rPr>
                        <m:sty m:val="p"/>
                      </m:rPr>
                      <m:t>∀</m:t>
                    </m:r>
                    <m:r>
                      <m:t>x</m:t>
                    </m:r>
                    <m:r>
                      <m:t>A</m:t>
                    </m:r>
                  </m:num>
                  <m:den>
                    <m:r>
                      <m:rPr>
                        <m:sty m:val="p"/>
                      </m:rPr>
                      <m:t>∃</m:t>
                    </m:r>
                    <m:r>
                      <m:t>x</m:t>
                    </m:r>
                    <m:r>
                      <m:rPr>
                        <m:sty m:val="p"/>
                      </m:rPr>
                      <m:t>¬</m:t>
                    </m:r>
                    <m:r>
                      <m:t>A</m:t>
                    </m:r>
                  </m:den>
                </m:f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∃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∃</m:t>
                    </m:r>
                    <m:r>
                      <m:t>x</m:t>
                    </m:r>
                    <m:r>
                      <m:t>A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[</m:t>
                    </m:r>
                    <m:r>
                      <m:t>a</m:t>
                    </m:r>
                    <m:r>
                      <m:rPr>
                        <m:sty m:val="p"/>
                      </m:rPr>
                      <m:t>/</m:t>
                    </m:r>
                    <m:r>
                      <m:t>x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(a neu)</m:t>
                </m:r>
              </m:e>
            </m:mr>
            <m:mr>
              <m:e/>
              <m:e>
                <m:r>
                  <m:rPr>
                    <m:sty m:val="p"/>
                  </m:rPr>
                  <m:t>(</m:t>
                </m:r>
                <m:r>
                  <m:rPr>
                    <m:sty m:val="p"/>
                  </m:rPr>
                  <m:t>∀</m:t>
                </m:r>
                <m:r>
                  <m:rPr>
                    <m:sty m:val="p"/>
                  </m:rPr>
                  <m:t>)</m:t>
                </m:r>
              </m:e>
              <m:e>
                <m:f>
                  <m:fPr>
                    <m:type m:val="bar"/>
                  </m:fPr>
                  <m:num>
                    <m:r>
                      <m:rPr>
                        <m:sty m:val="p"/>
                      </m:rPr>
                      <m:t>∀</m:t>
                    </m:r>
                    <m:r>
                      <m:t>x</m:t>
                    </m:r>
                    <m:r>
                      <m:t>A</m:t>
                    </m:r>
                  </m:num>
                  <m:den>
                    <m:r>
                      <m:t>A</m:t>
                    </m:r>
                    <m:r>
                      <m:rPr>
                        <m:sty m:val="p"/>
                      </m:rPr>
                      <m:t>[</m:t>
                    </m:r>
                    <m:r>
                      <m:t>a</m:t>
                    </m:r>
                    <m:r>
                      <m:rPr>
                        <m:sty m:val="p"/>
                      </m:rPr>
                      <m:t>/</m:t>
                    </m:r>
                    <m:r>
                      <m:t>x</m:t>
                    </m:r>
                    <m:r>
                      <m:rPr>
                        <m:sty m:val="p"/>
                      </m:rPr>
                      <m:t>]</m:t>
                    </m:r>
                  </m:den>
                </m:f>
                <m:r>
                  <m:t> </m:t>
                </m:r>
                <m:r>
                  <m:rPr>
                    <m:nor/>
                    <m:sty m:val="p"/>
                  </m:rPr>
                  <m:t>(a beliebig)</m:t>
                </m:r>
              </m:e>
            </m:mr>
          </m:m>
        </m:oMath>
      </m:oMathPara>
    </w:p>
    <w:bookmarkEnd w:id="11"/>
    <w:bookmarkStart w:id="12" w:name="prädikatenlogik"/>
    <w:p>
      <w:pPr>
        <w:pStyle w:val="Heading2"/>
      </w:pPr>
      <w:r>
        <w:t xml:space="preserve">Prädikatenlogik</w:t>
      </w:r>
    </w:p>
    <w:p>
      <w:pPr>
        <w:pStyle w:val="FirstParagraph"/>
      </w:pPr>
      <w:r>
        <w:t xml:space="preserve">Wir verwenden die klassische Prädikatenlogik erster Stufe mit Identität (</w:t>
      </w:r>
      <m:oMath>
        <m:r>
          <m:rPr>
            <m:sty m:val="p"/>
          </m:rPr>
          <m:t>=</m:t>
        </m:r>
      </m:oMath>
      <w:r>
        <w:t xml:space="preserve">) und den üblichen Quantoren (</w:t>
      </w:r>
      <m:oMath>
        <m:r>
          <m:rPr>
            <m:sty m:val="p"/>
          </m:rPr>
          <m:t>∀</m:t>
        </m:r>
        <m:r>
          <m:rPr>
            <m:sty m:val="p"/>
          </m:rPr>
          <m:t>,</m:t>
        </m:r>
        <m:r>
          <m:rPr>
            <m:sty m:val="p"/>
          </m:rPr>
          <m:t>∃</m:t>
        </m:r>
      </m:oMath>
      <w:r>
        <w:t xml:space="preserve">).</w:t>
      </w:r>
    </w:p>
    <w:bookmarkEnd w:id="12"/>
    <w:bookmarkEnd w:id="13"/>
    <w:bookmarkStart w:id="19" w:name="die-axiome-basis"/>
    <w:p>
      <w:pPr>
        <w:pStyle w:val="Heading1"/>
      </w:pPr>
      <w:r>
        <w:t xml:space="preserve">Die Axiome (Basis)</w:t>
      </w:r>
    </w:p>
    <w:bookmarkStart w:id="14" w:name="a1-monismus"/>
    <w:p>
      <w:pPr>
        <w:pStyle w:val="Heading2"/>
      </w:pPr>
      <w:r>
        <w:t xml:space="preserve">A1 – Monismus</w:t>
      </w:r>
    </w:p>
    <w:p>
      <w:pPr>
        <w:pStyle w:val="FirstParagraph"/>
      </w:pPr>
      <w:r>
        <w:t xml:space="preserve">Es gibt keine fundamental getrennten Wirklichkeitsbereiche.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G</m:t>
              </m:r>
              <m:r>
                <m:t>e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Wenn zwei Bereiche fundamental getrennt wären, gäbe es keine kausale oder ontologische Wechselwirkung zwischen ihnen. Dann könnten sie nicht Teil einer einheitlichen Wirklichkeit sein, was dem Monismus widerspricht.</w:t>
      </w:r>
    </w:p>
    <w:bookmarkEnd w:id="14"/>
    <w:bookmarkStart w:id="15" w:name="a4-existenz-einer-möglichen-wirklichkeit"/>
    <w:p>
      <w:pPr>
        <w:pStyle w:val="Heading2"/>
      </w:pPr>
      <w:r>
        <w:t xml:space="preserve">A4 – Existenz einer möglichen Wirklichkeit</w:t>
      </w:r>
    </w:p>
    <w:p>
      <w:pPr>
        <w:pStyle w:val="FirstParagraph"/>
      </w:pPr>
      <w:r>
        <w:t xml:space="preserve">Es gibt mindestens eine mögliche Welt.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e</m:t>
              </m:r>
              <m:r>
                <m:t>l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Dieses Axiom stellt sicher, dass das modale Universum nicht leer ist. Es ist das schwächste mögliche Existenzaxiom: Es sagt nicht, dass eine Welt tatsächlich existiert, sondern nur, dass sie möglich ist.</w:t>
      </w:r>
    </w:p>
    <w:bookmarkEnd w:id="15"/>
    <w:bookmarkStart w:id="16" w:name="a11-transzendentale-brücke"/>
    <w:p>
      <w:pPr>
        <w:pStyle w:val="Heading2"/>
      </w:pPr>
      <w:r>
        <w:t xml:space="preserve">A11 – Transzendentale Brücke</w:t>
      </w:r>
    </w:p>
    <w:p>
      <w:pPr>
        <w:pStyle w:val="FirstParagraph"/>
      </w:pPr>
      <w:r>
        <w:t xml:space="preserve">Eine Welt ist genau dann von Bewusstsein getrennt, wenn sie kein Bewusstsein enthält.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w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rPr>
                      <m:nor/>
                      <m:sty m:val="p"/>
                    </m:rPr>
                    <m:t>WeltGetrenntVonBewusstsein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↔</m:t>
                  </m:r>
                  <m:r>
                    <m:rPr>
                      <m:sty m:val="p"/>
                    </m:rPr>
                    <m:t>¬</m:t>
                  </m:r>
                  <m:r>
                    <m:rPr>
                      <m:sty m:val="p"/>
                    </m:rPr>
                    <m:t>∃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B</m:t>
                  </m:r>
                  <m:r>
                    <m:t>e</m:t>
                  </m:r>
                  <m:r>
                    <m:t>w</m:t>
                  </m:r>
                  <m:r>
                    <m:t>u</m:t>
                  </m:r>
                  <m:r>
                    <m:t>s</m:t>
                  </m:r>
                  <m:r>
                    <m:t>s</m:t>
                  </m:r>
                  <m:r>
                    <m:t>t</m:t>
                  </m:r>
                  <m:r>
                    <m:t>s</m:t>
                  </m:r>
                  <m:r>
                    <m:t>e</m:t>
                  </m:r>
                  <m:r>
                    <m:t>i</m:t>
                  </m:r>
                  <m:r>
                    <m:t>n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∧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)</m:t>
                  </m:r>
                </m:e>
              </m:d>
            </m:e>
          </m:borderBox>
        </m:oMath>
      </m:oMathPara>
    </w:p>
    <w:p>
      <w:pPr>
        <w:pStyle w:val="FirstParagraph"/>
      </w:pPr>
      <w:r>
        <w:t xml:space="preserve">mit der Definition: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WeltGetrenntVonBewusstsein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Dieses Axiom formalisiert die transzendentale Einsicht, dass eine Welt ohne Bewusstsein unerkennbar und daher fundamental getrennt wäre – was der Monismus (A1) verbietet.</w:t>
      </w:r>
    </w:p>
    <w:bookmarkEnd w:id="16"/>
    <w:bookmarkStart w:id="17" w:name="a12-erfahrbarkeit-und-realisierung"/>
    <w:p>
      <w:pPr>
        <w:pStyle w:val="Heading2"/>
      </w:pPr>
      <w:r>
        <w:t xml:space="preserve">A12 – Erfahrbarkeit und Realisierung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12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rPr>
                  <m:nor/>
                  <m:sty m:val="p"/>
                </m:rPr>
                <m:t>Erfahrbar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s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t xml:space="preserve">mit der Definition: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Erfahrbar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(</m:t>
              </m:r>
              <m:r>
                <m:rPr>
                  <m:nor/>
                  <m:sty m:val="p"/>
                </m:rPr>
                <m:t>Bewusstsein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nor/>
                  <m:sty m:val="p"/>
                </m:rPr>
                <m:t>Realisiert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Dieses Axiom besagt: Eine Aussage ist genau dann erfahrbar, wenn sie in einer Welt realisiert ist. Es ist die formale Fassung des transzendentalen Arguments: Was nicht realisiert ist, kann nicht erfahren werden.</w:t>
      </w:r>
    </w:p>
    <w:bookmarkEnd w:id="17"/>
    <w:bookmarkStart w:id="18" w:name="Xb50ad2a0e816c66632a5764519e183a869298e6"/>
    <w:p>
      <w:pPr>
        <w:pStyle w:val="Heading2"/>
      </w:pPr>
      <w:r>
        <w:t xml:space="preserve">A13, A14, A15 – Die drei Implikationen der Fälle</w:t>
      </w:r>
    </w:p>
    <w:p>
      <w:pPr>
        <w:pStyle w:val="FirstParagraph"/>
      </w:pPr>
      <w:r>
        <w:t xml:space="preserve">Diese Axiome formalisieren die drei Reductio-Fälle: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15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Sie besagen, dass die drei Grenzwerte</w:t>
      </w:r>
      <w:r>
        <w:t xml:space="preserve"> </w:t>
      </w:r>
      <m:oMath>
        <m:r>
          <m:t>T</m:t>
        </m:r>
        <m:r>
          <m:rPr>
            <m:sty m:val="p"/>
          </m:rPr>
          <m:t>,</m:t>
        </m:r>
        <m:r>
          <m:t>U</m:t>
        </m:r>
        <m:r>
          <m:rPr>
            <m:sty m:val="p"/>
          </m:rPr>
          <m:t>,</m:t>
        </m:r>
        <m:r>
          <m:t>S</m:t>
        </m:r>
      </m:oMath>
      <w:r>
        <w:t xml:space="preserve"> </w:t>
      </w:r>
      <w:r>
        <w:t xml:space="preserve">in einer wechselseitigen Implikationskette stehen – was in S5 zu ihrer Äquivalenz führt.</w:t>
      </w:r>
    </w:p>
    <w:bookmarkEnd w:id="18"/>
    <w:bookmarkEnd w:id="19"/>
    <w:bookmarkStart w:id="24" w:name="definition-der-grenzwertstruktur"/>
    <w:p>
      <w:pPr>
        <w:pStyle w:val="Heading1"/>
      </w:pPr>
      <w:r>
        <w:t xml:space="preserve">Definition der Grenzwertstruktur</w:t>
      </w:r>
    </w:p>
    <w:bookmarkStart w:id="20" w:name="Xe7936eccf040e25da662b057822c8f993ce3642"/>
    <w:p>
      <w:pPr>
        <w:pStyle w:val="Heading2"/>
      </w:pPr>
      <w:r>
        <w:t xml:space="preserve">Die Totalität T als offenes, wohlfundiertes Intervall</w:t>
      </w:r>
    </w:p>
    <w:p>
      <w:pPr>
        <w:pStyle w:val="FirstParagraph"/>
      </w:pPr>
      <w:r>
        <w:t xml:space="preserve">Die</w:t>
      </w:r>
      <w:r>
        <w:t xml:space="preserve"> </w:t>
      </w:r>
      <w:r>
        <w:rPr>
          <w:b/>
          <w:bCs/>
        </w:rPr>
        <w:t xml:space="preserve">Totalität T</w:t>
      </w:r>
      <w:r>
        <w:t xml:space="preserve"> </w:t>
      </w:r>
      <w:r>
        <w:t xml:space="preserve">ist die Gesamtheit aller realisierten Zustände. Wir verstehen T als</w:t>
      </w:r>
      <w:r>
        <w:t xml:space="preserve"> </w:t>
      </w:r>
      <w:r>
        <w:rPr>
          <w:b/>
          <w:bCs/>
        </w:rPr>
        <w:t xml:space="preserve">wohlfundiertes, offenes Intervall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T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{</m:t>
              </m:r>
              <m:r>
                <m:t>x</m:t>
              </m:r>
              <m:r>
                <m:rPr>
                  <m:sty m:val="p"/>
                </m:rPr>
                <m:t>∣</m:t>
              </m:r>
              <m:r>
                <m:t>U</m:t>
              </m:r>
              <m:r>
                <m:rPr>
                  <m:sty m:val="p"/>
                </m:rPr>
                <m:t>&lt;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S</m:t>
              </m:r>
              <m:r>
                <m:rPr>
                  <m:sty m:val="p"/>
                </m:rPr>
                <m:t>}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</w:p>
    <w:p>
      <w:pPr>
        <w:numPr>
          <w:ilvl w:val="0"/>
          <w:numId w:val="1008"/>
        </w:numPr>
      </w:pPr>
      <w:r>
        <w:t xml:space="preserve">Ein offenes Intervall</w:t>
      </w:r>
      <w:r>
        <w:t xml:space="preserve"> </w:t>
      </w:r>
      <m:oMath>
        <m:r>
          <m:rPr>
            <m:sty m:val="p"/>
          </m:rPr>
          <m:t>(</m:t>
        </m:r>
        <m:r>
          <m:t>U</m:t>
        </m:r>
        <m:r>
          <m:rPr>
            <m:sty m:val="p"/>
          </m:rPr>
          <m:t>,</m:t>
        </m:r>
        <m:r>
          <m:t>S</m:t>
        </m:r>
        <m:r>
          <m:rPr>
            <m:sty m:val="p"/>
          </m:rPr>
          <m:t>)</m:t>
        </m:r>
      </m:oMath>
      <w:r>
        <w:t xml:space="preserve"> </w:t>
      </w:r>
      <w:r>
        <w:t xml:space="preserve">enthält alle Zustände zwischen U und S, aber</w:t>
      </w:r>
      <w:r>
        <w:t xml:space="preserve"> </w:t>
      </w:r>
      <w:r>
        <w:rPr>
          <w:b/>
          <w:bCs/>
        </w:rPr>
        <w:t xml:space="preserve">nicht</w:t>
      </w:r>
      <w:r>
        <w:t xml:space="preserve"> </w:t>
      </w:r>
      <w:r>
        <w:t xml:space="preserve">U und S selbst.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Wohlfundiertheit:</w:t>
      </w:r>
      <w:r>
        <w:t xml:space="preserve"> </w:t>
      </w:r>
      <w:r>
        <w:t xml:space="preserve">Jede nicht-leere Teilmenge von Zuständen hat ein minimales Element. Dies verhindert unendliche Ketten von Gründen.</w:t>
      </w:r>
    </w:p>
    <w:p>
      <w:pPr>
        <w:numPr>
          <w:ilvl w:val="0"/>
          <w:numId w:val="1008"/>
        </w:numPr>
      </w:pPr>
      <w:r>
        <w:t xml:space="preserve">Der</w:t>
      </w:r>
      <w:r>
        <w:t xml:space="preserve"> </w:t>
      </w:r>
      <w:r>
        <w:rPr>
          <w:b/>
          <w:bCs/>
        </w:rPr>
        <w:t xml:space="preserve">Ursprung U</w:t>
      </w:r>
      <w:r>
        <w:t xml:space="preserve"> </w:t>
      </w:r>
      <w:r>
        <w:t xml:space="preserve">ist der untere Grenzwert – das, was dem Nichts am nächsten kommt, aber selbst kein Nichts ist.</w:t>
      </w:r>
    </w:p>
    <w:p>
      <w:pPr>
        <w:numPr>
          <w:ilvl w:val="0"/>
          <w:numId w:val="1008"/>
        </w:numPr>
      </w:pPr>
      <w:r>
        <w:t xml:space="preserve">Die</w:t>
      </w:r>
      <w:r>
        <w:t xml:space="preserve"> </w:t>
      </w:r>
      <w:r>
        <w:rPr>
          <w:b/>
          <w:bCs/>
        </w:rPr>
        <w:t xml:space="preserve">Selbsterkenntnis S</w:t>
      </w:r>
      <w:r>
        <w:t xml:space="preserve"> </w:t>
      </w:r>
      <w:r>
        <w:t xml:space="preserve">ist der obere Grenzwert – die vollständige Transparenz der Totalität, die selbst nicht zur Totalität gehört.</w:t>
      </w:r>
    </w:p>
    <w:bookmarkEnd w:id="20"/>
    <w:bookmarkStart w:id="21" w:name="der-ursprung-u-als-unterer-grenzwert"/>
    <w:p>
      <w:pPr>
        <w:pStyle w:val="Heading2"/>
      </w:pPr>
      <w:r>
        <w:t xml:space="preserve">Der Ursprung U als unterer Grenzwert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U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</m:e>
          </m:borderBox>
        </m:oMath>
      </m:oMathPara>
    </w:p>
    <w:bookmarkEnd w:id="21"/>
    <w:bookmarkStart w:id="22" w:name="X0285e9a88b9e12bd16cc00f5830808f8e7eef32"/>
    <w:p>
      <w:pPr>
        <w:pStyle w:val="Heading2"/>
      </w:pPr>
      <w:r>
        <w:t xml:space="preserve">Die Selbsterkenntnis S als oberer Grenzwert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</m:borderBox>
        </m:oMath>
      </m:oMathPara>
    </w:p>
    <w:bookmarkEnd w:id="22"/>
    <w:bookmarkStart w:id="23" w:name="die-trinität"/>
    <w:p>
      <w:pPr>
        <w:pStyle w:val="Heading2"/>
      </w:pPr>
      <w:r>
        <w:t xml:space="preserve">Die Trinität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T</m:t>
              </m:r>
              <m:r>
                <m:t>r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borderBox>
        </m:oMath>
      </m:oMathPara>
    </w:p>
    <w:bookmarkEnd w:id="23"/>
    <w:bookmarkEnd w:id="24"/>
    <w:bookmarkStart w:id="29" w:name="Xe17adabc39e5ad4cc5bade66f1f0f7d24defd6e"/>
    <w:p>
      <w:pPr>
        <w:pStyle w:val="Heading1"/>
      </w:pPr>
      <w:r>
        <w:t xml:space="preserve">TEIL I: NACHWEIS DER NICHT-ABLEITBARKEIT IN REINEM S5</w:t>
      </w:r>
    </w:p>
    <w:bookmarkStart w:id="25" w:name="ziel"/>
    <w:p>
      <w:pPr>
        <w:pStyle w:val="Heading2"/>
      </w:pPr>
      <w:r>
        <w:t xml:space="preserve">Ziel</w:t>
      </w:r>
    </w:p>
    <w:p>
      <w:pPr>
        <w:pStyle w:val="FirstParagraph"/>
      </w:pPr>
      <w:r>
        <w:t xml:space="preserve">Zeige, dass: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S5</m:t>
              </m:r>
              <m:r>
                <m:t> 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⊬</m:t>
                  </m:r>
                </m:e>
              </m:box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t xml:space="preserve">aus den Axiomen</w:t>
      </w:r>
      <w:r>
        <w:t xml:space="preserve"> </w:t>
      </w:r>
      <m:oMath>
        <m:r>
          <m:t>A</m:t>
        </m:r>
        <m:r>
          <m:t>1</m:t>
        </m:r>
        <m:r>
          <m:rPr>
            <m:sty m:val="p"/>
          </m:rPr>
          <m:t>,</m:t>
        </m:r>
        <m:r>
          <m:t>A</m:t>
        </m:r>
        <m:r>
          <m:t>4</m:t>
        </m:r>
        <m:r>
          <m:rPr>
            <m:sty m:val="p"/>
          </m:rPr>
          <m:t>,</m:t>
        </m:r>
        <m:r>
          <m:t>A</m:t>
        </m:r>
        <m:r>
          <m:t>11</m:t>
        </m:r>
        <m:r>
          <m:rPr>
            <m:sty m:val="p"/>
          </m:rPr>
          <m:t>,</m:t>
        </m:r>
        <m:r>
          <m:t>A</m:t>
        </m:r>
        <m:r>
          <m:t>12</m:t>
        </m:r>
        <m:r>
          <m:rPr>
            <m:sty m:val="p"/>
          </m:rPr>
          <m:t>,</m:t>
        </m:r>
        <m:r>
          <m:t>A</m:t>
        </m:r>
        <m:r>
          <m:t>13</m:t>
        </m:r>
        <m:r>
          <m:rPr>
            <m:sty m:val="p"/>
          </m:rPr>
          <m:t>,</m:t>
        </m:r>
        <m:r>
          <m:t>A</m:t>
        </m:r>
        <m:r>
          <m:t>14</m:t>
        </m:r>
        <m:r>
          <m:rPr>
            <m:sty m:val="p"/>
          </m:rPr>
          <m:t>,</m:t>
        </m:r>
        <m:r>
          <m:t>A</m:t>
        </m:r>
        <m:r>
          <m:t>15</m:t>
        </m:r>
      </m:oMath>
      <w:r>
        <w:t xml:space="preserve"> </w:t>
      </w:r>
      <w:r>
        <w:t xml:space="preserve">allein nicht folgt.</w:t>
      </w:r>
    </w:p>
    <w:bookmarkEnd w:id="25"/>
    <w:bookmarkStart w:id="26" w:name="methode"/>
    <w:p>
      <w:pPr>
        <w:pStyle w:val="Heading2"/>
      </w:pPr>
      <w:r>
        <w:t xml:space="preserve">Methode</w:t>
      </w:r>
    </w:p>
    <w:p>
      <w:pPr>
        <w:pStyle w:val="FirstParagraph"/>
      </w:pPr>
      <w:r>
        <w:t xml:space="preserve">Konstruiere ein</w:t>
      </w:r>
      <w:r>
        <w:t xml:space="preserve"> </w:t>
      </w:r>
      <w:r>
        <w:rPr>
          <w:b/>
          <w:bCs/>
        </w:rPr>
        <w:t xml:space="preserve">offenes S5-Tableau</w:t>
      </w:r>
      <w:r>
        <w:t xml:space="preserve"> </w:t>
      </w:r>
      <w:r>
        <w:t xml:space="preserve">für die Negation der Zielformel.</w:t>
      </w:r>
      <w:r>
        <w:t xml:space="preserve"> </w:t>
      </w:r>
      <w:r>
        <w:t xml:space="preserve">Gemäß dem</w:t>
      </w:r>
      <w:r>
        <w:t xml:space="preserve"> </w:t>
      </w:r>
      <w:r>
        <w:rPr>
          <w:b/>
          <w:bCs/>
        </w:rPr>
        <w:t xml:space="preserve">Korrektheits- und Vollständigkeitssatz</w:t>
      </w:r>
      <w:r>
        <w:t xml:space="preserve"> </w:t>
      </w:r>
      <w:r>
        <w:t xml:space="preserve">des S5-Tableau-Kalküls gilt:</w:t>
      </w:r>
    </w:p>
    <w:p>
      <w:pPr>
        <w:pStyle w:val="BlockText"/>
      </w:pPr>
      <w:r>
        <w:t xml:space="preserve">Eine Formelmenge ist genau dann</w:t>
      </w:r>
      <w:r>
        <w:t xml:space="preserve"> </w:t>
      </w:r>
      <w:r>
        <w:rPr>
          <w:b/>
          <w:bCs/>
        </w:rPr>
        <w:t xml:space="preserve">erfüllbar</w:t>
      </w:r>
      <w:r>
        <w:t xml:space="preserve"> </w:t>
      </w:r>
      <w:r>
        <w:t xml:space="preserve">in einem S5-Modell, wenn das Tableau</w:t>
      </w:r>
      <w:r>
        <w:t xml:space="preserve"> </w:t>
      </w:r>
      <w:r>
        <w:rPr>
          <w:b/>
          <w:bCs/>
        </w:rPr>
        <w:t xml:space="preserve">einen offenen Zweig</w:t>
      </w:r>
      <w:r>
        <w:t xml:space="preserve"> </w:t>
      </w:r>
      <w:r>
        <w:t xml:space="preserve">besitzt.</w:t>
      </w:r>
    </w:p>
    <w:p>
      <w:pPr>
        <w:pStyle w:val="FirstParagraph"/>
      </w:pPr>
      <w:r>
        <w:t xml:space="preserve">Daher: Wenn das Tableau für die negierte Zielformel offen bleibt, dann existiert ein S5-Modell, das alle Axiome und die Negation der Zielformel erfüllt – also ist die Zielformel</w:t>
      </w:r>
      <w:r>
        <w:t xml:space="preserve"> </w:t>
      </w:r>
      <w:r>
        <w:rPr>
          <w:b/>
          <w:bCs/>
        </w:rPr>
        <w:t xml:space="preserve">kein Theorem</w:t>
      </w:r>
      <w:r>
        <w:t xml:space="preserve">.</w:t>
      </w:r>
    </w:p>
    <w:bookmarkEnd w:id="26"/>
    <w:bookmarkStart w:id="27" w:name="tableau-reine-smullyan-regeln"/>
    <w:p>
      <w:pPr>
        <w:pStyle w:val="Heading2"/>
      </w:pPr>
      <w:r>
        <w:t xml:space="preserve">Tableau (reine Smullyan-Regeln)</w:t>
      </w:r>
    </w:p>
    <w:p>
      <w:pPr>
        <w:pStyle w:val="SourceCode"/>
      </w:pPr>
      <w:r>
        <w:rPr>
          <w:rStyle w:val="VerbatimChar"/>
        </w:rPr>
        <w:t xml:space="preserve">1.  ¬□∀x Tr(x)                                    [Annahme: Ziel sei kein Theorem]</w:t>
      </w:r>
      <w:r>
        <w:br/>
      </w:r>
      <w:r>
        <w:rPr>
          <w:rStyle w:val="VerbatimChar"/>
        </w:rPr>
        <w:t xml:space="preserve">2.  ◇¬∀x Tr(x)                                    [1, ¬□-Regel]</w:t>
      </w:r>
      <w:r>
        <w:br/>
      </w:r>
      <w:r>
        <w:rPr>
          <w:rStyle w:val="VerbatimChar"/>
        </w:rPr>
        <w:t xml:space="preserve">3.  ¬∀x Tr(x) @ w0                                [2, ◇-Regel: neue Welt w0]</w:t>
      </w:r>
      <w:r>
        <w:br/>
      </w:r>
      <w:r>
        <w:rPr>
          <w:rStyle w:val="VerbatimChar"/>
        </w:rPr>
        <w:t xml:space="preserve">4.  ∃x ¬Tr(x) @ w0                                [3, ¬∀-Regel: ¬∀xA ⊢ ∃x¬A]</w:t>
      </w:r>
      <w:r>
        <w:br/>
      </w:r>
      <w:r>
        <w:rPr>
          <w:rStyle w:val="VerbatimChar"/>
        </w:rPr>
        <w:t xml:space="preserve">5.  ¬Tr(a) @ w0                                   [4, ∃-Regel: a neu]</w:t>
      </w:r>
      <w:r>
        <w:br/>
      </w:r>
      <w:r>
        <w:rPr>
          <w:rStyle w:val="VerbatimChar"/>
        </w:rPr>
        <w:t xml:space="preserve">6.  ¬(T(a) ∧ U(a) ∧ S(a)) @ w0                    [5, D1 (Tr-Definition)]</w:t>
      </w:r>
      <w:r>
        <w:br/>
      </w:r>
      <w:r>
        <w:br/>
      </w:r>
      <w:r>
        <w:rPr>
          <w:rStyle w:val="VerbatimChar"/>
        </w:rPr>
        <w:t xml:space="preserve">    → β-Regel auf 6:</w:t>
      </w:r>
      <w:r>
        <w:br/>
      </w:r>
      <w:r>
        <w:rPr>
          <w:rStyle w:val="VerbatimChar"/>
        </w:rPr>
        <w:t xml:space="preserve">    6a. ¬T(a) @ w0</w:t>
      </w:r>
      <w:r>
        <w:br/>
      </w:r>
      <w:r>
        <w:rPr>
          <w:rStyle w:val="VerbatimChar"/>
        </w:rPr>
        <w:t xml:space="preserve">    6b. ¬U(a) @ w0</w:t>
      </w:r>
      <w:r>
        <w:br/>
      </w:r>
      <w:r>
        <w:rPr>
          <w:rStyle w:val="VerbatimChar"/>
        </w:rPr>
        <w:t xml:space="preserve">    6c. ¬S(a) @ w0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ZWEIG 6a: ¬T(a) @ w0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7.  □∀x(S(x) → T(x)) @ w0                         [A15]</w:t>
      </w:r>
      <w:r>
        <w:br/>
      </w:r>
      <w:r>
        <w:rPr>
          <w:rStyle w:val="VerbatimChar"/>
        </w:rPr>
        <w:t xml:space="preserve">8.  ∀x(S(x) → T(x)) @ w0                          [7, □-Regel]</w:t>
      </w:r>
      <w:r>
        <w:br/>
      </w:r>
      <w:r>
        <w:rPr>
          <w:rStyle w:val="VerbatimChar"/>
        </w:rPr>
        <w:t xml:space="preserve">9.  S(a) → T(a) @ w0                              [8, ∀-Regel]</w:t>
      </w:r>
      <w:r>
        <w:br/>
      </w:r>
      <w:r>
        <w:br/>
      </w:r>
      <w:r>
        <w:rPr>
          <w:rStyle w:val="VerbatimChar"/>
        </w:rPr>
        <w:t xml:space="preserve">    → β-Regel auf 9:</w:t>
      </w:r>
      <w:r>
        <w:br/>
      </w:r>
      <w:r>
        <w:rPr>
          <w:rStyle w:val="VerbatimChar"/>
        </w:rPr>
        <w:t xml:space="preserve">    9a. ¬S(a) @ w0</w:t>
      </w:r>
      <w:r>
        <w:br/>
      </w:r>
      <w:r>
        <w:rPr>
          <w:rStyle w:val="VerbatimChar"/>
        </w:rPr>
        <w:t xml:space="preserve">    9b. T(a) @ w0                                  [Widerspruch zu 6a → Zweig 9b schließt]</w:t>
      </w:r>
      <w:r>
        <w:br/>
      </w:r>
      <w:r>
        <w:br/>
      </w:r>
      <w:r>
        <w:rPr>
          <w:rStyle w:val="VerbatimChar"/>
        </w:rPr>
        <w:t xml:space="preserve">    Also: 9a. ¬S(a) @ w0</w:t>
      </w:r>
      <w:r>
        <w:br/>
      </w:r>
      <w:r>
        <w:br/>
      </w:r>
      <w:r>
        <w:rPr>
          <w:rStyle w:val="VerbatimChar"/>
        </w:rPr>
        <w:t xml:space="preserve">10. □∀x(T(x) → U(x)) @ w0                         [A13]</w:t>
      </w:r>
      <w:r>
        <w:br/>
      </w:r>
      <w:r>
        <w:rPr>
          <w:rStyle w:val="VerbatimChar"/>
        </w:rPr>
        <w:t xml:space="preserve">11. ∀x(T(x) → U(x)) @ w0                          [10, □-Regel]</w:t>
      </w:r>
      <w:r>
        <w:br/>
      </w:r>
      <w:r>
        <w:rPr>
          <w:rStyle w:val="VerbatimChar"/>
        </w:rPr>
        <w:t xml:space="preserve">12. T(a) → U(a) @ w0                              [11, ∀-Regel]</w:t>
      </w:r>
      <w:r>
        <w:br/>
      </w:r>
      <w:r>
        <w:br/>
      </w:r>
      <w:r>
        <w:rPr>
          <w:rStyle w:val="VerbatimChar"/>
        </w:rPr>
        <w:t xml:space="preserve">    → β-Regel auf 12:</w:t>
      </w:r>
      <w:r>
        <w:br/>
      </w:r>
      <w:r>
        <w:rPr>
          <w:rStyle w:val="VerbatimChar"/>
        </w:rPr>
        <w:t xml:space="preserve">    12a. ¬T(a) @ w0                                [bereits in 6a]</w:t>
      </w:r>
      <w:r>
        <w:br/>
      </w:r>
      <w:r>
        <w:rPr>
          <w:rStyle w:val="VerbatimChar"/>
        </w:rPr>
        <w:t xml:space="preserve">    12b. U(a) @ w0                                 [kein Widerspruch]</w:t>
      </w:r>
      <w:r>
        <w:br/>
      </w:r>
      <w:r>
        <w:br/>
      </w:r>
      <w:r>
        <w:rPr>
          <w:rStyle w:val="VerbatimChar"/>
        </w:rPr>
        <w:t xml:space="preserve">    → Wähle Zweig 12a (konsistent mit 6a).</w:t>
      </w:r>
      <w:r>
        <w:br/>
      </w:r>
      <w:r>
        <w:br/>
      </w:r>
      <w:r>
        <w:rPr>
          <w:rStyle w:val="VerbatimChar"/>
        </w:rPr>
        <w:t xml:space="preserve">13. □∀x(U(x) → S(x)) @ w0                         [A14]</w:t>
      </w:r>
      <w:r>
        <w:br/>
      </w:r>
      <w:r>
        <w:rPr>
          <w:rStyle w:val="VerbatimChar"/>
        </w:rPr>
        <w:t xml:space="preserve">14. ∀x(U(x) → S(x)) @ w0                          [13, □-Regel]</w:t>
      </w:r>
      <w:r>
        <w:br/>
      </w:r>
      <w:r>
        <w:rPr>
          <w:rStyle w:val="VerbatimChar"/>
        </w:rPr>
        <w:t xml:space="preserve">15. U(a) → S(a) @ w0                              [14, ∀-Regel]</w:t>
      </w:r>
      <w:r>
        <w:br/>
      </w:r>
      <w:r>
        <w:br/>
      </w:r>
      <w:r>
        <w:rPr>
          <w:rStyle w:val="VerbatimChar"/>
        </w:rPr>
        <w:t xml:space="preserve">    → β-Regel auf 15:</w:t>
      </w:r>
      <w:r>
        <w:br/>
      </w:r>
      <w:r>
        <w:rPr>
          <w:rStyle w:val="VerbatimChar"/>
        </w:rPr>
        <w:t xml:space="preserve">    15a. ¬U(a) @ w0</w:t>
      </w:r>
      <w:r>
        <w:br/>
      </w:r>
      <w:r>
        <w:rPr>
          <w:rStyle w:val="VerbatimChar"/>
        </w:rPr>
        <w:t xml:space="preserve">    15b. S(a) @ w0                                 [Widerspruch zu 9a → Zweig 15b schließt]</w:t>
      </w:r>
      <w:r>
        <w:br/>
      </w:r>
      <w:r>
        <w:br/>
      </w:r>
      <w:r>
        <w:rPr>
          <w:rStyle w:val="VerbatimChar"/>
        </w:rPr>
        <w:t xml:space="preserve">    Also: 15a. ¬U(a) @ w0</w:t>
      </w:r>
      <w:r>
        <w:br/>
      </w:r>
      <w:r>
        <w:br/>
      </w:r>
      <w:r>
        <w:rPr>
          <w:rStyle w:val="VerbatimChar"/>
        </w:rPr>
        <w:t xml:space="preserve">    → Damit im Zweig 6a: ¬T(a), ¬U(a), ¬S(a) @ w0.</w:t>
      </w:r>
      <w:r>
        <w:br/>
      </w:r>
      <w:r>
        <w:rPr>
          <w:rStyle w:val="VerbatimChar"/>
        </w:rPr>
        <w:t xml:space="preserve">    → Dies ist konsistent – kein Widerspruch.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ZWEIG 6b: ¬U(a) @ w0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16. □∀x(T(x) → U(x)) @ w0                         [A13]</w:t>
      </w:r>
      <w:r>
        <w:br/>
      </w:r>
      <w:r>
        <w:rPr>
          <w:rStyle w:val="VerbatimChar"/>
        </w:rPr>
        <w:t xml:space="preserve">17. ∀x(T(x) → U(x)) @ w0                          [16, □-Regel]</w:t>
      </w:r>
      <w:r>
        <w:br/>
      </w:r>
      <w:r>
        <w:rPr>
          <w:rStyle w:val="VerbatimChar"/>
        </w:rPr>
        <w:t xml:space="preserve">18. T(a) → U(a) @ w0                              [17, ∀-Regel]</w:t>
      </w:r>
      <w:r>
        <w:br/>
      </w:r>
      <w:r>
        <w:br/>
      </w:r>
      <w:r>
        <w:rPr>
          <w:rStyle w:val="VerbatimChar"/>
        </w:rPr>
        <w:t xml:space="preserve">    → β-Regel auf 18:</w:t>
      </w:r>
      <w:r>
        <w:br/>
      </w:r>
      <w:r>
        <w:rPr>
          <w:rStyle w:val="VerbatimChar"/>
        </w:rPr>
        <w:t xml:space="preserve">    18a. ¬T(a) @ w0</w:t>
      </w:r>
      <w:r>
        <w:br/>
      </w:r>
      <w:r>
        <w:rPr>
          <w:rStyle w:val="VerbatimChar"/>
        </w:rPr>
        <w:t xml:space="preserve">    18b. U(a) @ w0                                 [Widerspruch zu 6b → schließt]</w:t>
      </w:r>
      <w:r>
        <w:br/>
      </w:r>
      <w:r>
        <w:br/>
      </w:r>
      <w:r>
        <w:rPr>
          <w:rStyle w:val="VerbatimChar"/>
        </w:rPr>
        <w:t xml:space="preserve">    Also: 18a. ¬T(a) @ w0</w:t>
      </w:r>
      <w:r>
        <w:br/>
      </w:r>
      <w:r>
        <w:br/>
      </w:r>
      <w:r>
        <w:rPr>
          <w:rStyle w:val="VerbatimChar"/>
        </w:rPr>
        <w:t xml:space="preserve">19. □∀x(S(x) → T(x)) @ w0                         [A15]</w:t>
      </w:r>
      <w:r>
        <w:br/>
      </w:r>
      <w:r>
        <w:rPr>
          <w:rStyle w:val="VerbatimChar"/>
        </w:rPr>
        <w:t xml:space="preserve">20. ∀x(S(x) → T(x)) @ w0                          [19, □-Regel]</w:t>
      </w:r>
      <w:r>
        <w:br/>
      </w:r>
      <w:r>
        <w:rPr>
          <w:rStyle w:val="VerbatimChar"/>
        </w:rPr>
        <w:t xml:space="preserve">21. S(a) → T(a) @ w0                              [20, ∀-Regel]</w:t>
      </w:r>
      <w:r>
        <w:br/>
      </w:r>
      <w:r>
        <w:br/>
      </w:r>
      <w:r>
        <w:rPr>
          <w:rStyle w:val="VerbatimChar"/>
        </w:rPr>
        <w:t xml:space="preserve">    → β-Regel auf 21:</w:t>
      </w:r>
      <w:r>
        <w:br/>
      </w:r>
      <w:r>
        <w:rPr>
          <w:rStyle w:val="VerbatimChar"/>
        </w:rPr>
        <w:t xml:space="preserve">    21a. ¬S(a) @ w0</w:t>
      </w:r>
      <w:r>
        <w:br/>
      </w:r>
      <w:r>
        <w:rPr>
          <w:rStyle w:val="VerbatimChar"/>
        </w:rPr>
        <w:t xml:space="preserve">    21b. T(a) @ w0                                 [Widerspruch zu 18a → schließt]</w:t>
      </w:r>
      <w:r>
        <w:br/>
      </w:r>
      <w:r>
        <w:br/>
      </w:r>
      <w:r>
        <w:rPr>
          <w:rStyle w:val="VerbatimChar"/>
        </w:rPr>
        <w:t xml:space="preserve">    Also: 21a. ¬S(a) @ w0</w:t>
      </w:r>
      <w:r>
        <w:br/>
      </w:r>
      <w:r>
        <w:br/>
      </w:r>
      <w:r>
        <w:rPr>
          <w:rStyle w:val="VerbatimChar"/>
        </w:rPr>
        <w:t xml:space="preserve">22. □∀x(U(x) → S(x)) @ w0                         [A14]</w:t>
      </w:r>
      <w:r>
        <w:br/>
      </w:r>
      <w:r>
        <w:rPr>
          <w:rStyle w:val="VerbatimChar"/>
        </w:rPr>
        <w:t xml:space="preserve">23. ∀x(U(x) → S(x)) @ w0                          [22, □-Regel]</w:t>
      </w:r>
      <w:r>
        <w:br/>
      </w:r>
      <w:r>
        <w:rPr>
          <w:rStyle w:val="VerbatimChar"/>
        </w:rPr>
        <w:t xml:space="preserve">24. U(a) → S(a) @ w0                              [23, ∀-Regel]</w:t>
      </w:r>
      <w:r>
        <w:br/>
      </w:r>
      <w:r>
        <w:br/>
      </w:r>
      <w:r>
        <w:rPr>
          <w:rStyle w:val="VerbatimChar"/>
        </w:rPr>
        <w:t xml:space="preserve">    → β-Regel auf 24:</w:t>
      </w:r>
      <w:r>
        <w:br/>
      </w:r>
      <w:r>
        <w:rPr>
          <w:rStyle w:val="VerbatimChar"/>
        </w:rPr>
        <w:t xml:space="preserve">    24a. ¬U(a) @ w0                                [bereits in 6b]</w:t>
      </w:r>
      <w:r>
        <w:br/>
      </w:r>
      <w:r>
        <w:rPr>
          <w:rStyle w:val="VerbatimChar"/>
        </w:rPr>
        <w:t xml:space="preserve">    24b. S(a) @ w0                                 [Widerspruch zu 21a → schließt]</w:t>
      </w:r>
      <w:r>
        <w:br/>
      </w:r>
      <w:r>
        <w:br/>
      </w:r>
      <w:r>
        <w:rPr>
          <w:rStyle w:val="VerbatimChar"/>
        </w:rPr>
        <w:t xml:space="preserve">    → Konsistenter Zweig: ¬U(a), ¬T(a), ¬S(a) @ w0.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ZWEIG 6c: ¬S(a) @ w0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25. □∀x(S(x) → T(x)) @ w0                         [A15]</w:t>
      </w:r>
      <w:r>
        <w:br/>
      </w:r>
      <w:r>
        <w:rPr>
          <w:rStyle w:val="VerbatimChar"/>
        </w:rPr>
        <w:t xml:space="preserve">26. ∀x(S(x) → T(x)) @ w0                          [25, □-Regel]</w:t>
      </w:r>
      <w:r>
        <w:br/>
      </w:r>
      <w:r>
        <w:rPr>
          <w:rStyle w:val="VerbatimChar"/>
        </w:rPr>
        <w:t xml:space="preserve">27. S(a) → T(a) @ w0                              [26, ∀-Regel]</w:t>
      </w:r>
      <w:r>
        <w:br/>
      </w:r>
      <w:r>
        <w:br/>
      </w:r>
      <w:r>
        <w:rPr>
          <w:rStyle w:val="VerbatimChar"/>
        </w:rPr>
        <w:t xml:space="preserve">    → β-Regel auf 27:</w:t>
      </w:r>
      <w:r>
        <w:br/>
      </w:r>
      <w:r>
        <w:rPr>
          <w:rStyle w:val="VerbatimChar"/>
        </w:rPr>
        <w:t xml:space="preserve">    27a. ¬S(a) @ w0                                [bereits in 6c]</w:t>
      </w:r>
      <w:r>
        <w:br/>
      </w:r>
      <w:r>
        <w:rPr>
          <w:rStyle w:val="VerbatimChar"/>
        </w:rPr>
        <w:t xml:space="preserve">    27b. T(a) @ w0</w:t>
      </w:r>
      <w:r>
        <w:br/>
      </w:r>
      <w:r>
        <w:br/>
      </w:r>
      <w:r>
        <w:rPr>
          <w:rStyle w:val="VerbatimChar"/>
        </w:rPr>
        <w:t xml:space="preserve">    → Beide Zweige möglich.</w:t>
      </w:r>
      <w:r>
        <w:br/>
      </w:r>
      <w:r>
        <w:br/>
      </w:r>
      <w:r>
        <w:rPr>
          <w:rStyle w:val="VerbatimChar"/>
        </w:rPr>
        <w:t xml:space="preserve">28. □∀x(T(x) → U(x)) @ w0                         [A13]</w:t>
      </w:r>
      <w:r>
        <w:br/>
      </w:r>
      <w:r>
        <w:rPr>
          <w:rStyle w:val="VerbatimChar"/>
        </w:rPr>
        <w:t xml:space="preserve">29. ∀x(T(x) → U(x)) @ w0                          [28, □-Regel]</w:t>
      </w:r>
      <w:r>
        <w:br/>
      </w:r>
      <w:r>
        <w:rPr>
          <w:rStyle w:val="VerbatimChar"/>
        </w:rPr>
        <w:t xml:space="preserve">30. T(a) → U(a) @ w0                              [29, ∀-Regel]</w:t>
      </w:r>
      <w:r>
        <w:br/>
      </w:r>
      <w:r>
        <w:br/>
      </w:r>
      <w:r>
        <w:rPr>
          <w:rStyle w:val="VerbatimChar"/>
        </w:rPr>
        <w:t xml:space="preserve">    → β-Regel auf 30:</w:t>
      </w:r>
      <w:r>
        <w:br/>
      </w:r>
      <w:r>
        <w:rPr>
          <w:rStyle w:val="VerbatimChar"/>
        </w:rPr>
        <w:t xml:space="preserve">    30a. ¬T(a) @ w0</w:t>
      </w:r>
      <w:r>
        <w:br/>
      </w:r>
      <w:r>
        <w:rPr>
          <w:rStyle w:val="VerbatimChar"/>
        </w:rPr>
        <w:t xml:space="preserve">    30b. U(a) @ w0</w:t>
      </w:r>
      <w:r>
        <w:br/>
      </w:r>
      <w:r>
        <w:br/>
      </w:r>
      <w:r>
        <w:rPr>
          <w:rStyle w:val="VerbatimChar"/>
        </w:rPr>
        <w:t xml:space="preserve">31. □∀x(U(x) → S(x)) @ w0                         [A14]</w:t>
      </w:r>
      <w:r>
        <w:br/>
      </w:r>
      <w:r>
        <w:rPr>
          <w:rStyle w:val="VerbatimChar"/>
        </w:rPr>
        <w:t xml:space="preserve">32. ∀x(U(x) → S(x)) @ w0                          [31, □-Regel]</w:t>
      </w:r>
      <w:r>
        <w:br/>
      </w:r>
      <w:r>
        <w:rPr>
          <w:rStyle w:val="VerbatimChar"/>
        </w:rPr>
        <w:t xml:space="preserve">33. U(a) → S(a) @ w0                              [32, ∀-Regel]</w:t>
      </w:r>
      <w:r>
        <w:br/>
      </w:r>
      <w:r>
        <w:br/>
      </w:r>
      <w:r>
        <w:rPr>
          <w:rStyle w:val="VerbatimChar"/>
        </w:rPr>
        <w:t xml:space="preserve">    → β-Regel auf 33:</w:t>
      </w:r>
      <w:r>
        <w:br/>
      </w:r>
      <w:r>
        <w:rPr>
          <w:rStyle w:val="VerbatimChar"/>
        </w:rPr>
        <w:t xml:space="preserve">    33a. ¬U(a) @ w0</w:t>
      </w:r>
      <w:r>
        <w:br/>
      </w:r>
      <w:r>
        <w:rPr>
          <w:rStyle w:val="VerbatimChar"/>
        </w:rPr>
        <w:t xml:space="preserve">    33b. S(a) @ w0                                 [Widerspruch zu 6c → schließt]</w:t>
      </w:r>
      <w:r>
        <w:br/>
      </w:r>
      <w:r>
        <w:br/>
      </w:r>
      <w:r>
        <w:rPr>
          <w:rStyle w:val="VerbatimChar"/>
        </w:rPr>
        <w:t xml:space="preserve">    Also: 33a. ¬U(a) @ w0</w:t>
      </w:r>
      <w:r>
        <w:br/>
      </w:r>
      <w:r>
        <w:br/>
      </w:r>
      <w:r>
        <w:rPr>
          <w:rStyle w:val="VerbatimChar"/>
        </w:rPr>
        <w:t xml:space="preserve">    → Kombiniere: Aus 30b (U(a)) und 33a (¬U(a)) ergibt sich Widerspruch.</w:t>
      </w:r>
      <w:r>
        <w:br/>
      </w:r>
      <w:r>
        <w:rPr>
          <w:rStyle w:val="VerbatimChar"/>
        </w:rPr>
        <w:t xml:space="preserve">    → Daher muss 30a gelten: ¬T(a) @ w0.</w:t>
      </w:r>
      <w:r>
        <w:br/>
      </w:r>
      <w:r>
        <w:br/>
      </w:r>
      <w:r>
        <w:rPr>
          <w:rStyle w:val="VerbatimChar"/>
        </w:rPr>
        <w:t xml:space="preserve">    → Damit: ¬S(a), ¬U(a), ¬T(a) @ w0 konsistent.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ALLE ZWEIGE: ¬T(a) ∧ ¬U(a) ∧ ¬S(a) @ w0 ist konsistent.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ÜBRIGE AXIOME (A4, A11, A12) – keine Anwendung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34. ◇∃w Welt(w) @ w0                              [A4]</w:t>
      </w:r>
      <w:r>
        <w:br/>
      </w:r>
      <w:r>
        <w:rPr>
          <w:rStyle w:val="VerbatimChar"/>
        </w:rPr>
        <w:t xml:space="preserve">35. ∃w Welt(w) @ w1                               [34, ◇-Regel, w1 neu]</w:t>
      </w:r>
      <w:r>
        <w:br/>
      </w:r>
      <w:r>
        <w:rPr>
          <w:rStyle w:val="VerbatimChar"/>
        </w:rPr>
        <w:t xml:space="preserve">    → Führt zu neuer Welt w1, aber nicht zu w0 zurück.</w:t>
      </w:r>
      <w:r>
        <w:br/>
      </w:r>
      <w:r>
        <w:br/>
      </w:r>
      <w:r>
        <w:rPr>
          <w:rStyle w:val="VerbatimChar"/>
        </w:rPr>
        <w:t xml:space="preserve">36. A11, A12: Keine Instanzen in w0, die T(a), U(a) oder S(a) erzwingen.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FAZIT DES TABLEAUS: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Das Tableau besitzt einen **offenen Zweig**:</w:t>
      </w:r>
      <w:r>
        <w:br/>
      </w:r>
      <w:r>
        <w:br/>
      </w:r>
      <w:r>
        <w:rPr>
          <w:rStyle w:val="VerbatimChar"/>
        </w:rPr>
        <w:t xml:space="preserve">    w0, a, mit ¬T(a), ¬U(a), ¬S(a).</w:t>
      </w:r>
      <w:r>
        <w:br/>
      </w:r>
      <w:r>
        <w:br/>
      </w:r>
      <w:r>
        <w:rPr>
          <w:rStyle w:val="VerbatimChar"/>
        </w:rPr>
        <w:t xml:space="preserve">Kein Axiom erzeugt in w0 T(a), U(a) oder S(a).</w:t>
      </w:r>
      <w:r>
        <w:br/>
      </w:r>
      <w:r>
        <w:rPr>
          <w:rStyle w:val="VerbatimChar"/>
        </w:rPr>
        <w:t xml:space="preserve">Die übrigen Axiome führen zu neuen Welten (w1, ...),</w:t>
      </w:r>
      <w:r>
        <w:br/>
      </w:r>
      <w:r>
        <w:rPr>
          <w:rStyle w:val="VerbatimChar"/>
        </w:rPr>
        <w:t xml:space="preserve">aber nicht zu w0 zurück.</w:t>
      </w:r>
      <w:r>
        <w:br/>
      </w:r>
      <w:r>
        <w:br/>
      </w:r>
      <w:r>
        <w:rPr>
          <w:rStyle w:val="VerbatimChar"/>
        </w:rPr>
        <w:t xml:space="preserve">Daher ist das Tableau **nicht geschlossen**.</w:t>
      </w:r>
    </w:p>
    <w:bookmarkEnd w:id="27"/>
    <w:bookmarkStart w:id="28" w:name="metatheoretischer-schluss"/>
    <w:p>
      <w:pPr>
        <w:pStyle w:val="Heading2"/>
      </w:pPr>
      <w:r>
        <w:t xml:space="preserve">Metatheoretischer Schluss</w:t>
      </w:r>
    </w:p>
    <w:p>
      <w:pPr>
        <w:pStyle w:val="FirstParagraph"/>
      </w:pPr>
      <w:r>
        <w:t xml:space="preserve">Nach dem</w:t>
      </w:r>
      <w:r>
        <w:t xml:space="preserve"> </w:t>
      </w:r>
      <w:r>
        <w:rPr>
          <w:b/>
          <w:bCs/>
        </w:rPr>
        <w:t xml:space="preserve">Korrektheits- und Vollständigkeitssatz</w:t>
      </w:r>
      <w:r>
        <w:t xml:space="preserve"> </w:t>
      </w:r>
      <w:r>
        <w:t xml:space="preserve">des S5-Tableau-Kalküls</w:t>
      </w:r>
      <w:r>
        <w:t xml:space="preserve"> </w:t>
      </w:r>
      <w:r>
        <w:t xml:space="preserve">(siehe z. B. Smullyan, Fitting, oder Blackburn/de Rijke/Venema) gilt:</w:t>
      </w:r>
    </w:p>
    <w:p>
      <w:pPr>
        <w:pStyle w:val="BlockText"/>
      </w:pPr>
      <w:r>
        <w:t xml:space="preserve">Eine Formelmenge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ist genau dann S5-erfüllbar, wenn das Tableau für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einen offenen Zweig besitzt.</w:t>
      </w:r>
    </w:p>
    <w:p>
      <w:pPr>
        <w:pStyle w:val="FirstParagraph"/>
      </w:pPr>
      <w:r>
        <w:t xml:space="preserve">Unser Tableau für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Σ</m:t>
          </m:r>
          <m:r>
            <m:rPr>
              <m:sty m:val="p"/>
            </m:rPr>
            <m:t>=</m:t>
          </m:r>
          <m:r>
            <m:rPr>
              <m:sty m:val="p"/>
            </m:rPr>
            <m:t>{</m:t>
          </m:r>
          <m:r>
            <m:t>A</m:t>
          </m:r>
          <m:r>
            <m:t>1</m:t>
          </m:r>
          <m:r>
            <m:rPr>
              <m:sty m:val="p"/>
            </m:rPr>
            <m:t>,</m:t>
          </m:r>
          <m:r>
            <m:t>A</m:t>
          </m:r>
          <m:r>
            <m:t>4</m:t>
          </m:r>
          <m:r>
            <m:rPr>
              <m:sty m:val="p"/>
            </m:rPr>
            <m:t>,</m:t>
          </m:r>
          <m:r>
            <m:t>A</m:t>
          </m:r>
          <m:r>
            <m:t>11</m:t>
          </m:r>
          <m:r>
            <m:rPr>
              <m:sty m:val="p"/>
            </m:rPr>
            <m:t>,</m:t>
          </m:r>
          <m:r>
            <m:t>A</m:t>
          </m:r>
          <m:r>
            <m:t>12</m:t>
          </m:r>
          <m:r>
            <m:rPr>
              <m:sty m:val="p"/>
            </m:rPr>
            <m:t>,</m:t>
          </m:r>
          <m:r>
            <m:t>A</m:t>
          </m:r>
          <m:r>
            <m:t>13</m:t>
          </m:r>
          <m:r>
            <m:rPr>
              <m:sty m:val="p"/>
            </m:rPr>
            <m:t>,</m:t>
          </m:r>
          <m:r>
            <m:t>A</m:t>
          </m:r>
          <m:r>
            <m:t>14</m:t>
          </m:r>
          <m:r>
            <m:rPr>
              <m:sty m:val="p"/>
            </m:rPr>
            <m:t>,</m:t>
          </m:r>
          <m:r>
            <m:t>A</m:t>
          </m:r>
          <m:r>
            <m:t>15</m:t>
          </m:r>
          <m:r>
            <m:rPr>
              <m:sty m:val="p"/>
            </m:rPr>
            <m:t>,</m:t>
          </m:r>
          <m:r>
            <m:rPr>
              <m:sty m:val="p"/>
            </m:rPr>
            <m:t>¬</m:t>
          </m:r>
          <m:r>
            <m:rPr>
              <m:sty m:val="p"/>
            </m:rPr>
            <m:t>□</m:t>
          </m:r>
          <m:r>
            <m:rPr>
              <m:sty m:val="p"/>
            </m:rPr>
            <m:t>∀</m:t>
          </m:r>
          <m:r>
            <m:t>x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}</m:t>
          </m:r>
        </m:oMath>
      </m:oMathPara>
    </w:p>
    <w:p>
      <w:pPr>
        <w:pStyle w:val="FirstParagraph"/>
      </w:pPr>
      <w:r>
        <w:t xml:space="preserve">besitzt einen offenen Zweig.</w:t>
      </w:r>
    </w:p>
    <w:p>
      <w:pPr>
        <w:pStyle w:val="BodyText"/>
      </w:pPr>
      <w:r>
        <w:t xml:space="preserve">Also ist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S5-erfüllbar.</w:t>
      </w:r>
    </w:p>
    <w:p>
      <w:pPr>
        <w:pStyle w:val="BodyText"/>
      </w:pPr>
      <w:r>
        <w:t xml:space="preserve">Also gibt es ein S5-Modell, das alle Axiome erfüllt, aber in der Welt</w:t>
      </w:r>
      <w:r>
        <w:t xml:space="preserve"> </w:t>
      </w:r>
      <m:oMath>
        <m:sSub>
          <m:e>
            <m:r>
              <m:t>w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ein Individuum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besitzt, für das</w:t>
      </w:r>
      <w:r>
        <w:t xml:space="preserve"> </w:t>
      </w:r>
      <m:oMath>
        <m:r>
          <m:rPr>
            <m:sty m:val="p"/>
          </m:rPr>
          <m:t>¬</m:t>
        </m:r>
        <m:r>
          <m:t>T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¬</m:t>
        </m:r>
        <m:r>
          <m:t>U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 </w:t>
      </w:r>
      <w:r>
        <w:t xml:space="preserve">und</w:t>
      </w:r>
      <w:r>
        <w:t xml:space="preserve"> </w:t>
      </w:r>
      <m:oMath>
        <m:r>
          <m:rPr>
            <m:sty m:val="p"/>
          </m:rPr>
          <m:t>¬</m:t>
        </m:r>
        <m:r>
          <m:t>S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)</m:t>
        </m:r>
      </m:oMath>
      <w:r>
        <w:t xml:space="preserve"> </w:t>
      </w:r>
      <w:r>
        <w:t xml:space="preserve">gelten.</w:t>
      </w:r>
    </w:p>
    <w:p>
      <w:pPr>
        <w:pStyle w:val="BodyText"/>
      </w:pPr>
      <w:r>
        <w:t xml:space="preserve">Also gilt in diesem Modell nicht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∀</m:t>
        </m:r>
        <m:r>
          <m:t>x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t xml:space="preserve">Also ist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∀</m:t>
        </m:r>
        <m:r>
          <m:t>x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rPr>
          <w:b/>
          <w:bCs/>
        </w:rPr>
        <w:t xml:space="preserve">kein logisches Theorem</w:t>
      </w:r>
      <w:r>
        <w:t xml:space="preserve"> </w:t>
      </w:r>
      <w:r>
        <w:t xml:space="preserve">der gegebenen Axiomatik.</w:t>
      </w:r>
    </w:p>
    <w:p>
      <w:pPr>
        <w:pStyle w:val="BodyText"/>
      </w:pPr>
      <w:r>
        <w:rPr>
          <w:b/>
          <w:bCs/>
        </w:rPr>
        <w:t xml:space="preserve">Satz 1</w:t>
      </w:r>
      <w:r>
        <w:t xml:space="preserve"> </w:t>
      </w:r>
      <w:r>
        <w:t xml:space="preserve">(Nicht-Ableitbarkeit in reinem S5).</w:t>
      </w:r>
      <w:r>
        <w:t xml:space="preserve"> </w:t>
      </w:r>
      <w:r>
        <w:t xml:space="preserve"> </w:t>
      </w: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S5</m:t>
              </m:r>
              <m:r>
                <m:t> 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⊬</m:t>
                  </m:r>
                </m:e>
              </m:box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28"/>
    <w:bookmarkEnd w:id="29"/>
    <w:bookmarkStart w:id="39" w:name="X077bc196ce3ca238dc2ff7801ab3c9de567aa12"/>
    <w:p>
      <w:pPr>
        <w:pStyle w:val="Heading1"/>
      </w:pPr>
      <w:r>
        <w:t xml:space="preserve">TEIL II: BEWEIS IM ERWEITERTEN SYSTEM S5+SP</w:t>
      </w:r>
    </w:p>
    <w:bookmarkStart w:id="35" w:name="die-superpositions-erweiterung-asp"/>
    <w:p>
      <w:pPr>
        <w:pStyle w:val="Heading2"/>
      </w:pPr>
      <w:r>
        <w:t xml:space="preserve">Die Superpositions-Erweiterung (ASP)</w:t>
      </w:r>
    </w:p>
    <w:p>
      <w:pPr>
        <w:pStyle w:val="FirstParagraph"/>
      </w:pPr>
      <w:r>
        <w:t xml:space="preserve">Zusätzlich zu den Axiomen A1, A4, A11, A12, A13, A14, A15 führen wir die</w:t>
      </w:r>
      <w:r>
        <w:t xml:space="preserve"> </w:t>
      </w:r>
      <w:r>
        <w:rPr>
          <w:b/>
          <w:bCs/>
        </w:rPr>
        <w:t xml:space="preserve">Superpositions-Axiome</w:t>
      </w:r>
      <w:r>
        <w:t xml:space="preserve"> </w:t>
      </w:r>
      <w:r>
        <w:t xml:space="preserve">ein. Sie formalisieren die Idee, dass Bewusstsein (</w:t>
      </w:r>
      <m:oMath>
        <m:r>
          <m:t>C</m:t>
        </m:r>
      </m:oMath>
      <w:r>
        <w:t xml:space="preserve">) der selbstreflexive Moment einer Superposition ist, aus der alle Welten entstehen.</w:t>
      </w:r>
    </w:p>
    <w:bookmarkStart w:id="30" w:name="asp1-bewusstsein-in-der-superposition"/>
    <w:p>
      <w:pPr>
        <w:pStyle w:val="Heading3"/>
      </w:pPr>
      <w:r>
        <w:t xml:space="preserve">ASP1 – Bewusstsein in der Superposition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C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In der Superposition gilt Bewusstsein. Die Superposition ist der Urzustand, in dem alle Möglichkeiten noch ungetrennt enthalten sind.</w:t>
      </w:r>
    </w:p>
    <w:bookmarkEnd w:id="30"/>
    <w:bookmarkStart w:id="31" w:name="asp2-einzigartigkeit-von-c"/>
    <w:p>
      <w:pPr>
        <w:pStyle w:val="Heading3"/>
      </w:pPr>
      <w:r>
        <w:t xml:space="preserve">ASP2 – Einzigartigkeit von</w:t>
      </w:r>
      <w:r>
        <w:t xml:space="preserve"> </w:t>
      </w:r>
      <m:oMath>
        <m:r>
          <m:t>C</m:t>
        </m:r>
      </m:oMath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2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↔</m:t>
              </m:r>
              <m:r>
                <m:t>v</m:t>
              </m:r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Bewusstsein gilt nur in der Superposition – keine andere Welt hat es. Bewusstsein ist ein singuläres Ereignis.</w:t>
      </w:r>
    </w:p>
    <w:bookmarkEnd w:id="31"/>
    <w:bookmarkStart w:id="32" w:name="X16d64dc45cc4669aa9671f7cf2b91cc68d15222"/>
    <w:p>
      <w:pPr>
        <w:pStyle w:val="Heading3"/>
      </w:pPr>
      <w:r>
        <w:t xml:space="preserve">ASP3 – Die Superposition enthält alle Tr-Eigenschaften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3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Die Superposition enthält bereits alle Eigenschaften</w:t>
      </w:r>
      <w:r>
        <w:t xml:space="preserve"> </w:t>
      </w:r>
      <m:oMath>
        <m:r>
          <m:t>T</m:t>
        </m:r>
        <m:r>
          <m:rPr>
            <m:sty m:val="p"/>
          </m:rPr>
          <m:t>,</m:t>
        </m:r>
        <m:r>
          <m:t>U</m:t>
        </m:r>
        <m:r>
          <m:rPr>
            <m:sty m:val="p"/>
          </m:rPr>
          <m:t>,</m:t>
        </m:r>
        <m:r>
          <m:t>S</m:t>
        </m:r>
      </m:oMath>
      <w:r>
        <w:t xml:space="preserve">. Sie ist der Grund für alles, was in den Welten gilt.</w:t>
      </w:r>
    </w:p>
    <w:bookmarkEnd w:id="32"/>
    <w:bookmarkStart w:id="33" w:name="asp4-übertragung-auf-alle-welten"/>
    <w:p>
      <w:pPr>
        <w:pStyle w:val="Heading3"/>
      </w:pPr>
      <w:r>
        <w:t xml:space="preserve">ASP4 – Übertragung auf alle Welten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Was in der Superposition gilt, gilt in allen erreichbaren Welten. Die Superposition ist ein normativer Ursprung.</w:t>
      </w:r>
    </w:p>
    <w:bookmarkEnd w:id="33"/>
    <w:bookmarkStart w:id="34" w:name="X483c8dff631fc742f6c6a5e4297781eca61aa1b"/>
    <w:p>
      <w:pPr>
        <w:pStyle w:val="Heading3"/>
      </w:pPr>
      <w:r>
        <w:t xml:space="preserve">ASP5 – Universelle Erreichbarkeit (als Rahmenbedingung)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S</m:t>
              </m:r>
              <m:r>
                <m:t>P</m:t>
              </m:r>
              <m:r>
                <m:t>5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Erläuterung:</w:t>
      </w:r>
      <w:r>
        <w:t xml:space="preserve"> </w:t>
      </w:r>
      <w:r>
        <w:t xml:space="preserve">Jede andere Welt ist von der Superposition aus erreichbar. Die Superposition ist der einzige Ursprung.</w:t>
      </w:r>
    </w:p>
    <w:bookmarkEnd w:id="34"/>
    <w:bookmarkEnd w:id="35"/>
    <w:bookmarkStart w:id="38" w:name="beweis-im-erweiterten-system-s5sp"/>
    <w:p>
      <w:pPr>
        <w:pStyle w:val="Heading2"/>
      </w:pPr>
      <w:r>
        <w:t xml:space="preserve">Beweis im erweiterten System S5+SP</w:t>
      </w:r>
    </w:p>
    <w:p>
      <w:pPr>
        <w:pStyle w:val="FirstParagraph"/>
      </w:pPr>
      <w:r>
        <w:rPr>
          <w:b/>
          <w:bCs/>
        </w:rPr>
        <w:t xml:space="preserve">Satz 2</w:t>
      </w:r>
      <w:r>
        <w:t xml:space="preserve"> </w:t>
      </w:r>
      <w:r>
        <w:t xml:space="preserve">(Ableitbarkeit in S5+SP).</w:t>
      </w:r>
      <w:r>
        <w:t xml:space="preserve"> </w:t>
      </w:r>
      <w:r>
        <w:t xml:space="preserve"> </w:t>
      </w:r>
      <m:oMathPara>
        <m:oMathParaPr>
          <m:jc m:val="center"/>
        </m:oMathParaPr>
        <m:oMath>
          <m:borderBox>
            <m:e>
              <m:r>
                <m:rPr>
                  <m:nor/>
                  <m:sty m:val="p"/>
                </m:rPr>
                <m:t>S5+SP</m:t>
              </m:r>
              <m:r>
                <m:t> </m:t>
              </m:r>
              <m:r>
                <m:rPr>
                  <m:sty m:val="p"/>
                </m:rPr>
                <m:t>⊢</m:t>
              </m:r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e>
          </m:borderBox>
        </m:oMath>
      </m:oMathPara>
      <w:r>
        <w:rPr>
          <w:i/>
          <w:iCs/>
        </w:rPr>
        <w:t xml:space="preserve"> </w:t>
      </w:r>
      <w:r>
        <w:rPr>
          <w:i/>
          <w:iCs/>
        </w:rPr>
        <w:t xml:space="preserve">wobei</w:t>
      </w:r>
      <w:r>
        <w:rPr>
          <w:i/>
          <w:iCs/>
        </w:rPr>
        <w:t xml:space="preserve"> </w:t>
      </w:r>
      <m:oMath>
        <m:r>
          <m:rPr>
            <m:nor/>
            <m:sty m:val="p"/>
          </m:rPr>
          <m:t>S5+SP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nor/>
            <m:sty m:val="p"/>
          </m:rPr>
          <m:t>S5</m:t>
        </m:r>
        <m:r>
          <m:rPr>
            <m:sty m:val="p"/>
          </m:rPr>
          <m:t>+</m:t>
        </m:r>
        <m:r>
          <m:rPr>
            <m:sty m:val="p"/>
          </m:rPr>
          <m:t>{</m:t>
        </m:r>
        <m:r>
          <m:t>A</m:t>
        </m:r>
        <m:r>
          <m:t>S</m:t>
        </m:r>
        <m:r>
          <m:t>P</m:t>
        </m:r>
        <m:r>
          <m:t>1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2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3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4</m:t>
        </m:r>
        <m:r>
          <m:rPr>
            <m:sty m:val="p"/>
          </m:rPr>
          <m:t>,</m:t>
        </m:r>
        <m:r>
          <m:t>A</m:t>
        </m:r>
        <m:r>
          <m:t>S</m:t>
        </m:r>
        <m:r>
          <m:t>P</m:t>
        </m:r>
        <m:r>
          <m:t>5</m:t>
        </m:r>
        <m:r>
          <m:rPr>
            <m:sty m:val="p"/>
          </m:rPr>
          <m:t>}</m:t>
        </m:r>
      </m:oMath>
      <w:r>
        <w:rPr>
          <w:i/>
          <w:iCs/>
        </w:rPr>
        <w:t xml:space="preserve">.</w:t>
      </w:r>
    </w:p>
    <w:bookmarkStart w:id="36" w:name="semantischer-beweis"/>
    <w:p>
      <w:pPr>
        <w:pStyle w:val="Heading3"/>
      </w:pPr>
      <w:r>
        <w:t xml:space="preserve">Semantischer Beweis</w:t>
      </w:r>
    </w:p>
    <w:p>
      <w:pPr>
        <w:pStyle w:val="FirstParagraph"/>
      </w:pPr>
      <w:r>
        <w:t xml:space="preserve">Sei</w:t>
      </w:r>
      <w:r>
        <w:t xml:space="preserve"> </w:t>
      </w:r>
      <m:oMath>
        <m:r>
          <m:rPr>
            <m:scr m:val="script"/>
            <m:sty m:val="p"/>
          </m:rPr>
          <m:t>M</m:t>
        </m:r>
        <m:r>
          <m:rPr>
            <m:sty m:val="p"/>
          </m:rPr>
          <m:t>=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R</m:t>
        </m:r>
        <m:r>
          <m:rPr>
            <m:sty m:val="p"/>
          </m:rPr>
          <m:t>,</m:t>
        </m:r>
        <m:sSub>
          <m:e>
            <m:r>
              <m:t>w</m:t>
            </m:r>
          </m:e>
          <m:sub>
            <m:r>
              <m:rPr>
                <m:nor/>
                <m:sty m:val="p"/>
              </m:rPr>
              <m:t>super</m:t>
            </m:r>
          </m:sub>
        </m:sSub>
        <m:r>
          <m:rPr>
            <m:sty m:val="p"/>
          </m:rPr>
          <m:t>,</m:t>
        </m:r>
        <m:r>
          <m:t>I</m:t>
        </m:r>
        <m:r>
          <m:rPr>
            <m:sty m:val="p"/>
          </m:rPr>
          <m:t>)</m:t>
        </m:r>
      </m:oMath>
      <w:r>
        <w:t xml:space="preserve"> </w:t>
      </w:r>
      <w:r>
        <w:t xml:space="preserve">ein beliebiges S5+SP-Modell mit ASP1–ASP5.</w:t>
      </w:r>
    </w:p>
    <w:p>
      <w:pPr>
        <w:pStyle w:val="BodyText"/>
      </w:pPr>
      <w:r>
        <w:t xml:space="preserve">Zu zeigen: Für alle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 </w:t>
      </w:r>
      <w:r>
        <w:t xml:space="preserve">gilt</w:t>
      </w:r>
      <w:r>
        <w:t xml:space="preserve"> </w:t>
      </w:r>
      <m:oMath>
        <m:r>
          <m:rPr>
            <m:scr m:val="script"/>
            <m:sty m:val="p"/>
          </m:rPr>
          <m:t>M</m:t>
        </m:r>
        <m:r>
          <m:rPr>
            <m:sty m:val="p"/>
          </m:rPr>
          <m:t>,</m:t>
        </m:r>
        <m:r>
          <m:t>w</m:t>
        </m:r>
        <m:r>
          <m:rPr>
            <m:sty m:val="p"/>
          </m:rPr>
          <m:t>⊨</m:t>
        </m:r>
        <m:r>
          <m:rPr>
            <m:sty m:val="p"/>
          </m:rPr>
          <m:t>∀</m:t>
        </m:r>
        <m:r>
          <m:t>x</m:t>
        </m:r>
        <m:r>
          <m:t> </m:t>
        </m:r>
        <m:r>
          <m:t>T</m:t>
        </m:r>
        <m:r>
          <m:t>r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t xml:space="preserve">Sei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 </w:t>
      </w:r>
      <w:r>
        <w:t xml:space="preserve">beliebig.</w:t>
      </w:r>
    </w:p>
    <w:p>
      <w:pPr>
        <w:pStyle w:val="BodyText"/>
      </w:pPr>
      <w:r>
        <w:rPr>
          <w:b/>
          <w:bCs/>
        </w:rPr>
        <w:t xml:space="preserve">Fall 1: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sSub>
          <m:e>
            <m:r>
              <m:t>w</m:t>
            </m:r>
          </m:e>
          <m:sub>
            <m:r>
              <m:rPr>
                <m:nor/>
                <m:sty m:val="p"/>
              </m:rPr>
              <m:t>super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Nach ASP3 gilt: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,</m:t>
          </m:r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super</m:t>
              </m:r>
            </m:sub>
          </m:sSub>
          <m:r>
            <m:rPr>
              <m:sty m:val="p"/>
            </m:rPr>
            <m:t>⊨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Also gilt die Behauptung.</w:t>
      </w:r>
    </w:p>
    <w:p>
      <w:pPr>
        <w:pStyle w:val="BodyText"/>
      </w:pPr>
      <w:r>
        <w:rPr>
          <w:b/>
          <w:bCs/>
        </w:rPr>
        <w:t xml:space="preserve">Fall 2:</w:t>
      </w:r>
      <w:r>
        <w:t xml:space="preserve"> </w:t>
      </w:r>
      <m:oMath>
        <m:r>
          <m:t>w</m:t>
        </m:r>
        <m:r>
          <m:rPr>
            <m:sty m:val="p"/>
          </m:rPr>
          <m:t>≠</m:t>
        </m:r>
        <m:sSub>
          <m:e>
            <m:r>
              <m:t>w</m:t>
            </m:r>
          </m:e>
          <m:sub>
            <m:r>
              <m:rPr>
                <m:nor/>
                <m:sty m:val="p"/>
              </m:rPr>
              <m:t>super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Nach ASP5 gilt: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w</m:t>
              </m:r>
            </m:e>
            <m:sub>
              <m:r>
                <m:rPr>
                  <m:nor/>
                  <m:sty m:val="p"/>
                </m:rPr>
                <m:t>super</m:t>
              </m:r>
            </m:sub>
          </m:sSub>
          <m:r>
            <m:t>R</m:t>
          </m:r>
          <m:r>
            <m:t>w</m:t>
          </m:r>
        </m:oMath>
      </m:oMathPara>
    </w:p>
    <w:p>
      <w:pPr>
        <w:pStyle w:val="FirstParagraph"/>
      </w:pPr>
      <w:r>
        <w:t xml:space="preserve">Nach ASP4 folgt daraus: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,</m:t>
          </m:r>
          <m:r>
            <m:t>w</m:t>
          </m:r>
          <m:r>
            <m:rPr>
              <m:sty m:val="p"/>
            </m:rPr>
            <m:t>⊨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Also gilt die Behauptung.</w:t>
      </w:r>
    </w:p>
    <w:p>
      <w:pPr>
        <w:pStyle w:val="BodyText"/>
      </w:pPr>
      <w:r>
        <w:t xml:space="preserve">Da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beliebig war, gilt für alle</w:t>
      </w:r>
      <w:r>
        <w:t xml:space="preserve"> </w:t>
      </w:r>
      <m:oMath>
        <m:r>
          <m:t>w</m:t>
        </m:r>
        <m:r>
          <m:rPr>
            <m:sty m:val="p"/>
          </m:rPr>
          <m:t>∈</m:t>
        </m:r>
        <m:r>
          <m:t>W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,</m:t>
          </m:r>
          <m:r>
            <m:t>w</m:t>
          </m:r>
          <m:r>
            <m:rPr>
              <m:sty m:val="p"/>
            </m:rPr>
            <m:t>⊨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Dies ist äquivalent zu: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m:t>M</m:t>
          </m:r>
          <m:r>
            <m:rPr>
              <m:sty m:val="p"/>
            </m:rPr>
            <m:t>⊨</m:t>
          </m:r>
          <m:r>
            <m:rPr>
              <m:sty m:val="p"/>
            </m:rPr>
            <m:t>□</m:t>
          </m:r>
          <m:r>
            <m:rPr>
              <m:sty m:val="p"/>
            </m:rPr>
            <m:t>∀</m:t>
          </m:r>
          <m:r>
            <m:t>x</m:t>
          </m:r>
          <m:r>
            <m:t> </m:t>
          </m:r>
          <m:r>
            <m:t>T</m:t>
          </m:r>
          <m:r>
            <m:t>r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q.e.d.</w:t>
      </w:r>
    </w:p>
    <w:bookmarkEnd w:id="36"/>
    <w:bookmarkStart w:id="37" w:name="tableau-beweis-in-s5sp"/>
    <w:p>
      <w:pPr>
        <w:pStyle w:val="Heading3"/>
      </w:pPr>
      <w:r>
        <w:t xml:space="preserve">Tableau-Beweis in S5+SP</w:t>
      </w:r>
    </w:p>
    <w:p>
      <w:pPr>
        <w:pStyle w:val="SourceCode"/>
      </w:pPr>
      <w:r>
        <w:rPr>
          <w:rStyle w:val="VerbatimChar"/>
        </w:rPr>
        <w:t xml:space="preserve">TABLEAU-BEWEIS IN S5+SP</w:t>
      </w:r>
      <w:r>
        <w:br/>
      </w:r>
      <w:r>
        <w:rPr>
          <w:rStyle w:val="VerbatimChar"/>
        </w:rPr>
        <w:t xml:space="preserve">ZIEL: ⊢ □∀x Tr(x)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REDUCTIO-ANNAHME: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1.  ¬□∀x Tr(x)                                    [Annahme: Ziel sei falsch]</w:t>
      </w:r>
      <w:r>
        <w:br/>
      </w:r>
      <w:r>
        <w:rPr>
          <w:rStyle w:val="VerbatimChar"/>
        </w:rPr>
        <w:t xml:space="preserve">2.  ◇¬∀x Tr(x)                                    [1, ¬□-Regel]</w:t>
      </w:r>
      <w:r>
        <w:br/>
      </w:r>
      <w:r>
        <w:rPr>
          <w:rStyle w:val="VerbatimChar"/>
        </w:rPr>
        <w:t xml:space="preserve">3.  ¬∀x Tr(x) @ w0                                [2, ◇-Regel: neue Welt w0]</w:t>
      </w:r>
      <w:r>
        <w:br/>
      </w:r>
      <w:r>
        <w:rPr>
          <w:rStyle w:val="VerbatimChar"/>
        </w:rPr>
        <w:t xml:space="preserve">4.  ∃x ¬Tr(x) @ w0                                [3, ¬∀-Regel]</w:t>
      </w:r>
      <w:r>
        <w:br/>
      </w:r>
      <w:r>
        <w:rPr>
          <w:rStyle w:val="VerbatimChar"/>
        </w:rPr>
        <w:t xml:space="preserve">5.  ¬Tr(a) @ w0                                   [4, ∃-Regel: a neu]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FALLUNTERSCHEIDUNG: w0 = w_super ∨ w0 ≠ w_super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6.  w0 = w_super  ∨  w0 ≠ w_super                  [Identität]</w:t>
      </w:r>
      <w:r>
        <w:br/>
      </w:r>
      <w:r>
        <w:br/>
      </w:r>
      <w:r>
        <w:rPr>
          <w:rStyle w:val="VerbatimChar"/>
        </w:rPr>
        <w:t xml:space="preserve">    → Verzweigung A: w0 = w_super</w:t>
      </w:r>
      <w:r>
        <w:br/>
      </w:r>
      <w:r>
        <w:rPr>
          <w:rStyle w:val="VerbatimChar"/>
        </w:rPr>
        <w:t xml:space="preserve">    → Verzweigung B: w0 ≠ w_super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VERZWEIGUNG A: w0 = w_super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7.  ¬Tr(a) @ w_super                               [5, Substitution]</w:t>
      </w:r>
      <w:r>
        <w:br/>
      </w:r>
      <w:r>
        <w:rPr>
          <w:rStyle w:val="VerbatimChar"/>
        </w:rPr>
        <w:t xml:space="preserve">8.  ∀x Tr(x) @ w_super                             [ASP3, Axiom]</w:t>
      </w:r>
      <w:r>
        <w:br/>
      </w:r>
      <w:r>
        <w:rPr>
          <w:rStyle w:val="VerbatimChar"/>
        </w:rPr>
        <w:t xml:space="preserve">9.  Tr(a) @ w_super                                [8, ∀-Regel auf a]</w:t>
      </w:r>
      <w:r>
        <w:br/>
      </w:r>
      <w:r>
        <w:rPr>
          <w:rStyle w:val="VerbatimChar"/>
        </w:rPr>
        <w:t xml:space="preserve">10. Widerspruch: Tr(a) @ w_super und ¬Tr(a) @ w_super</w:t>
      </w:r>
      <w:r>
        <w:br/>
      </w:r>
      <w:r>
        <w:rPr>
          <w:rStyle w:val="VerbatimChar"/>
        </w:rPr>
        <w:t xml:space="preserve">    → Verzweigung A schließt (⊥).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VERZWEIGUNG B: w0 ≠ w_super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11. w0 ≠ w_super                                   [aus 6, Zweig B]</w:t>
      </w:r>
      <w:r>
        <w:br/>
      </w:r>
      <w:r>
        <w:rPr>
          <w:rStyle w:val="VerbatimChar"/>
        </w:rPr>
        <w:t xml:space="preserve">12. w_super R w0                                   [11, ASP5]</w:t>
      </w:r>
      <w:r>
        <w:br/>
      </w:r>
      <w:r>
        <w:rPr>
          <w:rStyle w:val="VerbatimChar"/>
        </w:rPr>
        <w:t xml:space="preserve">13. ∀x Tr(x) @ w0                                  [12, ASP4]</w:t>
      </w:r>
      <w:r>
        <w:br/>
      </w:r>
      <w:r>
        <w:rPr>
          <w:rStyle w:val="VerbatimChar"/>
        </w:rPr>
        <w:t xml:space="preserve">14. Tr(a) @ w0                                     [13, ∀-Regel auf a]</w:t>
      </w:r>
      <w:r>
        <w:br/>
      </w:r>
      <w:r>
        <w:rPr>
          <w:rStyle w:val="VerbatimChar"/>
        </w:rPr>
        <w:t xml:space="preserve">15. Widerspruch: Tr(a) @ w0 und ¬Tr(a) @ w0 (aus 5)</w:t>
      </w:r>
      <w:r>
        <w:br/>
      </w:r>
      <w:r>
        <w:rPr>
          <w:rStyle w:val="VerbatimChar"/>
        </w:rPr>
        <w:t xml:space="preserve">    → Verzweigung B schließt (⊥).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BEIDE VERZWEIGUNGEN SCHLIESSEN.</w:t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</w:rPr>
        <w:t xml:space="preserve">Daher ist die Annahme ¬□∀xTr(x) widersprüchlich.</w:t>
      </w:r>
      <w:r>
        <w:br/>
      </w:r>
      <w:r>
        <w:br/>
      </w:r>
      <w:r>
        <w:rPr>
          <w:rStyle w:val="VerbatimChar"/>
        </w:rPr>
        <w:t xml:space="preserve">Also: ⊢ □∀xTr(x) in S5+SP.</w:t>
      </w:r>
      <w:r>
        <w:br/>
      </w:r>
      <w:r>
        <w:br/>
      </w:r>
      <w:r>
        <w:rPr>
          <w:rStyle w:val="VerbatimChar"/>
        </w:rPr>
        <w:t xml:space="preserve">QED.</w:t>
      </w:r>
    </w:p>
    <w:bookmarkEnd w:id="37"/>
    <w:bookmarkEnd w:id="38"/>
    <w:bookmarkEnd w:id="39"/>
    <w:bookmarkStart w:id="43" w:name="teil-iii-metatheoretische-einordnung"/>
    <w:p>
      <w:pPr>
        <w:pStyle w:val="Heading1"/>
      </w:pPr>
      <w:r>
        <w:t xml:space="preserve">TEIL III: METATHEORETISCHE EINORDNUNG</w:t>
      </w:r>
    </w:p>
    <w:bookmarkStart w:id="40" w:name="was-wurde-gezeigt"/>
    <w:p>
      <w:pPr>
        <w:pStyle w:val="Heading2"/>
      </w:pPr>
      <w:r>
        <w:t xml:space="preserve">Was wurde gezeigt?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System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Aussage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Reines S5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S5</m:t>
              </m:r>
              <m:r>
                <m:t> 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⊬</m:t>
                  </m:r>
                </m:e>
              </m:box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Bewiesen (offener Tableau-Zweig)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S5+SP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S5+SP</m:t>
              </m:r>
              <m:r>
                <m:t> </m:t>
              </m:r>
              <m:r>
                <m:rPr>
                  <m:sty m:val="p"/>
                </m:rPr>
                <m:t>⊢</m:t>
              </m:r>
              <m:r>
                <m:t> 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Bewiesen (geschlossenes Tableau)</w:t>
            </w:r>
          </w:p>
        </w:tc>
      </w:tr>
    </w:tbl>
    <w:p>
      <w:pPr>
        <w:pStyle w:val="BodyText"/>
      </w:pPr>
      <w:r>
        <w:t xml:space="preserve">Die entscheidende Erkenntnis ist:</w:t>
      </w:r>
    </w:p>
    <w:p>
      <w:pPr>
        <w:pStyle w:val="BlockText"/>
      </w:pPr>
      <w:r>
        <w:t xml:space="preserve">Die Brücke von der Existenz von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in einer Welt zur Notwendigkeit von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in allen Welten ist</w:t>
      </w:r>
      <w:r>
        <w:t xml:space="preserve"> </w:t>
      </w:r>
      <w:r>
        <w:rPr>
          <w:b/>
          <w:bCs/>
        </w:rPr>
        <w:t xml:space="preserve">kein Theorem von S5</w:t>
      </w:r>
      <w:r>
        <w:t xml:space="preserve">. Sie muss als</w:t>
      </w:r>
      <w:r>
        <w:t xml:space="preserve"> </w:t>
      </w:r>
      <w:r>
        <w:rPr>
          <w:b/>
          <w:bCs/>
        </w:rPr>
        <w:t xml:space="preserve">zusätzliche metaphysische Annahme</w:t>
      </w:r>
      <w:r>
        <w:t xml:space="preserve"> </w:t>
      </w:r>
      <w:r>
        <w:t xml:space="preserve">eingeführt werden – hier in Form der Superpositions-Axiome ASP1–ASP5.</w:t>
      </w:r>
    </w:p>
    <w:bookmarkEnd w:id="40"/>
    <w:bookmarkStart w:id="41" w:name="was-wurde-nicht-gezeigt"/>
    <w:p>
      <w:pPr>
        <w:pStyle w:val="Heading2"/>
      </w:pPr>
      <w:r>
        <w:t xml:space="preserve">Was wurde nicht gezeigt?</w:t>
      </w:r>
    </w:p>
    <w:p>
      <w:pPr>
        <w:numPr>
          <w:ilvl w:val="0"/>
          <w:numId w:val="1009"/>
        </w:numPr>
      </w:pPr>
      <w:r>
        <w:t xml:space="preserve">Die</w:t>
      </w:r>
      <w:r>
        <w:t xml:space="preserve"> </w:t>
      </w:r>
      <w:r>
        <w:rPr>
          <w:b/>
          <w:bCs/>
        </w:rPr>
        <w:t xml:space="preserve">Wahrheit</w:t>
      </w:r>
      <w:r>
        <w:t xml:space="preserve"> </w:t>
      </w:r>
      <w:r>
        <w:t xml:space="preserve">der Superpositions-Axiome ASP1–ASP5. Sie sind</w:t>
      </w:r>
      <w:r>
        <w:t xml:space="preserve"> </w:t>
      </w:r>
      <w:r>
        <w:rPr>
          <w:b/>
          <w:bCs/>
        </w:rPr>
        <w:t xml:space="preserve">metaphysische Prämissen</w:t>
      </w:r>
      <w:r>
        <w:t xml:space="preserve">, keine logischen Theoreme.</w:t>
      </w:r>
    </w:p>
    <w:p>
      <w:pPr>
        <w:numPr>
          <w:ilvl w:val="0"/>
          <w:numId w:val="1009"/>
        </w:numPr>
      </w:pPr>
      <w:r>
        <w:t xml:space="preserve">Dass die Zielaussage aus den ursprünglichen Axiomen A1, A4, A11, A12, A13, A14, A15 allein folgt – im Gegenteil, Teil I zeigt, dass sie es nicht tut.</w:t>
      </w:r>
    </w:p>
    <w:bookmarkEnd w:id="41"/>
    <w:bookmarkStart w:id="42" w:name="die-rolle-von-c-bewusstsein"/>
    <w:p>
      <w:pPr>
        <w:pStyle w:val="Heading2"/>
      </w:pPr>
      <w:r>
        <w:t xml:space="preserve">Die Rolle von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(Bewusstsein)</w:t>
      </w:r>
    </w:p>
    <w:p>
      <w:pPr>
        <w:pStyle w:val="FirstParagraph"/>
      </w:pPr>
      <w:r>
        <w:t xml:space="preserve">Die Superpositions-Axiome formalisieren die Intuition, dass</w:t>
      </w:r>
      <w:r>
        <w:t xml:space="preserve"> </w:t>
      </w:r>
      <w:r>
        <w:rPr>
          <w:b/>
          <w:bCs/>
        </w:rPr>
        <w:t xml:space="preserve">Bewusstsein (</w:t>
      </w:r>
      <m:oMath>
        <m:r>
          <m:t>C</m:t>
        </m:r>
      </m:oMath>
      <w:r>
        <w:rPr>
          <w:b/>
          <w:bCs/>
        </w:rPr>
        <w:t xml:space="preserve">)</w:t>
      </w:r>
      <w:r>
        <w:t xml:space="preserve"> </w:t>
      </w:r>
      <w:r>
        <w:t xml:space="preserve">der selbstreflexive Moment der Superposition ist:</w:t>
      </w:r>
    </w:p>
    <w:p>
      <w:pPr>
        <w:numPr>
          <w:ilvl w:val="0"/>
          <w:numId w:val="1010"/>
        </w:numPr>
      </w:pPr>
      <w:r>
        <w:t xml:space="preserve">ASP1: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gilt in der Superposition.</w:t>
      </w:r>
    </w:p>
    <w:p>
      <w:pPr>
        <w:numPr>
          <w:ilvl w:val="0"/>
          <w:numId w:val="1010"/>
        </w:numPr>
      </w:pPr>
      <w:r>
        <w:t xml:space="preserve">ASP2: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gilt nur dort – es ist ein singuläres Ereignis.</w:t>
      </w:r>
    </w:p>
    <w:p>
      <w:pPr>
        <w:numPr>
          <w:ilvl w:val="0"/>
          <w:numId w:val="1010"/>
        </w:numPr>
      </w:pPr>
      <w:r>
        <w:t xml:space="preserve">ASP3–ASP5: Die Superposition ist der notwendige Grund für alle Eigenschaften in allen Welten.</w:t>
      </w:r>
    </w:p>
    <w:p>
      <w:pPr>
        <w:pStyle w:val="FirstParagraph"/>
      </w:pPr>
      <w:r>
        <w:t xml:space="preserve">Damit wird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zur</w:t>
      </w:r>
      <w:r>
        <w:t xml:space="preserve"> </w:t>
      </w:r>
      <w:r>
        <w:rPr>
          <w:b/>
          <w:bCs/>
        </w:rPr>
        <w:t xml:space="preserve">Brücke von Existenz zu Notwendigkeit</w:t>
      </w:r>
      <w:r>
        <w:t xml:space="preserve">: Weil die Superposition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enthält und alle Welten aus ihr hervorgehen, gilt</w:t>
      </w:r>
      <w:r>
        <w:t xml:space="preserve"> </w:t>
      </w:r>
      <m:oMath>
        <m:r>
          <m:t>T</m:t>
        </m:r>
        <m:r>
          <m:t>r</m:t>
        </m:r>
      </m:oMath>
      <w:r>
        <w:t xml:space="preserve"> </w:t>
      </w:r>
      <w:r>
        <w:t xml:space="preserve">notwendig in allen Welten.</w:t>
      </w:r>
    </w:p>
    <w:bookmarkEnd w:id="42"/>
    <w:bookmarkEnd w:id="43"/>
    <w:bookmarkStart w:id="44" w:name="gegenmodelle"/>
    <w:p>
      <w:pPr>
        <w:pStyle w:val="Heading1"/>
      </w:pPr>
      <w:r>
        <w:t xml:space="preserve">Gegenmodelle</w:t>
      </w:r>
    </w:p>
    <w:p>
      <w:pPr>
        <w:pStyle w:val="FirstParagraph"/>
      </w:pPr>
      <w:r>
        <w:t xml:space="preserve">Die Trinität kann vermieden werden, wenn mindestens eines der Axiome aufgegeben wird: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Aufgegebenes Axiom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Gegenmodell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Konsequenz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 (Monismus)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Dualismus (Descartes)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kann ohne T existieren; Erkenntnis und Objekt sind getrennt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A4 (Existenz einer Welt)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Nihilismus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 gibt keine Welt; die gesamte Ontologie ist leer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A11 (Transzendentale Brücke)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Erkenntnistheoretischer Skeptizismus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Unerkennbarkeit impliziert keine fundamentale Trennung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A12 (Erfahrbarkeit ↔ Realisierung)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Empirismus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Erfahrbarkeit ist nicht mit Realisierung identisch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ASP1–ASP5 (Superposition)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Keine Superposition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Die Brücke von Existenz zu Notwendigkeit fehlt</w:t>
            </w:r>
          </w:p>
        </w:tc>
      </w:tr>
    </w:tbl>
    <w:bookmarkEnd w:id="44"/>
    <w:bookmarkStart w:id="48" w:name="anhang-vollständige-axiome-und-theoreme"/>
    <w:p>
      <w:pPr>
        <w:pStyle w:val="Heading1"/>
      </w:pPr>
      <w:r>
        <w:t xml:space="preserve">Anhang: Vollständige Axiome und Theoreme</w:t>
      </w:r>
    </w:p>
    <w:bookmarkStart w:id="45" w:name="axiome-vollständig"/>
    <w:p>
      <w:pPr>
        <w:pStyle w:val="Heading2"/>
      </w:pPr>
      <w:r>
        <w:t xml:space="preserve">Axiome (vollständig)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A</m:t>
              </m:r>
              <m:r>
                <m:t>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G</m:t>
              </m:r>
              <m:r>
                <m:t>e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e</m:t>
              </m:r>
              <m:r>
                <m:t>l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w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rPr>
                      <m:nor/>
                      <m:sty m:val="p"/>
                    </m:rPr>
                    <m:t>WeltGetrenntVonBewusstsein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↔</m:t>
                  </m:r>
                  <m:r>
                    <m:rPr>
                      <m:sty m:val="p"/>
                    </m:rPr>
                    <m:t>¬</m:t>
                  </m:r>
                  <m:r>
                    <m:rPr>
                      <m:sty m:val="p"/>
                    </m:rPr>
                    <m:t>∃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B</m:t>
                  </m:r>
                  <m:r>
                    <m:t>e</m:t>
                  </m:r>
                  <m:r>
                    <m:t>w</m:t>
                  </m:r>
                  <m:r>
                    <m:t>u</m:t>
                  </m:r>
                  <m:r>
                    <m:t>s</m:t>
                  </m:r>
                  <m:r>
                    <m:t>s</m:t>
                  </m:r>
                  <m:r>
                    <m:t>t</m:t>
                  </m:r>
                  <m:r>
                    <m:t>s</m:t>
                  </m:r>
                  <m:r>
                    <m:t>e</m:t>
                  </m:r>
                  <m:r>
                    <m:t>i</m:t>
                  </m:r>
                  <m:r>
                    <m:t>n</m:t>
                  </m:r>
                  <m:r>
                    <m:rPr>
                      <m:sty m:val="p"/>
                    </m:rPr>
                    <m:t>(</m:t>
                  </m:r>
                  <m:r>
                    <m:t>c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∧</m:t>
                  </m:r>
                  <m:r>
                    <m:t>c</m:t>
                  </m:r>
                  <m:r>
                    <m:rPr>
                      <m:sty m:val="p"/>
                    </m:rPr>
                    <m:t>(</m:t>
                  </m:r>
                  <m:r>
                    <m:t>w</m:t>
                  </m:r>
                  <m:r>
                    <m:rPr>
                      <m:sty m:val="p"/>
                    </m:rPr>
                    <m:t>)</m:t>
                  </m:r>
                  <m:r>
                    <m:rPr>
                      <m:sty m:val="p"/>
                    </m:rPr>
                    <m:t>)</m:t>
                  </m:r>
                </m:e>
              </m:d>
            </m:e>
            <m:e>
              <m:r>
                <m:t>A</m:t>
              </m:r>
              <m:r>
                <m:t>12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.</m:t>
              </m:r>
              <m:r>
                <m:rPr>
                  <m:nor/>
                  <m:sty m:val="p"/>
                </m:rPr>
                <m:t>Erfahrbar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↔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s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13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15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C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2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↔</m:t>
              </m:r>
              <m:r>
                <m:t>v</m:t>
              </m:r>
              <m:r>
                <m:rPr>
                  <m:sty m:val="p"/>
                </m:rPr>
                <m:t>=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3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∀</m:t>
              </m:r>
              <m:r>
                <m:t>x</m:t>
              </m:r>
              <m:r>
                <m:t> </m:t>
              </m:r>
              <m:r>
                <m:t>T</m:t>
              </m:r>
              <m:r>
                <m:t>r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@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S</m:t>
              </m:r>
              <m:r>
                <m:t>P</m:t>
              </m:r>
              <m:r>
                <m:t>5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∀</m:t>
              </m:r>
              <m:r>
                <m:t>v</m:t>
              </m:r>
              <m:r>
                <m:rPr>
                  <m:sty m:val="p"/>
                </m:rPr>
                <m:t>(</m:t>
              </m:r>
              <m:r>
                <m:t>v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rPr>
                  <m:sty m:val="p"/>
                </m:rPr>
                <m:t>→</m:t>
              </m:r>
              <m:sSub>
                <m:e>
                  <m:r>
                    <m:t>w</m:t>
                  </m:r>
                </m:e>
                <m:sub>
                  <m:r>
                    <m:rPr>
                      <m:nor/>
                      <m:sty m:val="p"/>
                    </m:rPr>
                    <m:t>super</m:t>
                  </m:r>
                </m:sub>
              </m:sSub>
              <m:r>
                <m:t>R</m:t>
              </m:r>
              <m:r>
                <m:t>v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bookmarkEnd w:id="45"/>
    <w:bookmarkStart w:id="46" w:name="definitionen"/>
    <w:p>
      <w:pPr>
        <w:pStyle w:val="Heading2"/>
      </w:pPr>
      <w:r>
        <w:t xml:space="preserve">Definitionen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rPr>
                  <m:nor/>
                  <m:sty m:val="p"/>
                </m:rPr>
                <m:t>WeltGetrenntVonBewusstsein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t>e</m:t>
              </m:r>
              <m:r>
                <m:t>w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s</m:t>
              </m:r>
              <m:r>
                <m:t>e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rPr>
                  <m:nor/>
                  <m:sty m:val="p"/>
                </m:rPr>
                <m:t>Erfahrbar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(</m:t>
              </m:r>
              <m:r>
                <m:rPr>
                  <m:nor/>
                  <m:sty m:val="p"/>
                </m:rPr>
                <m:t>Bewusstsein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nor/>
                  <m:sty m:val="p"/>
                </m:rPr>
                <m:t>Realisiert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  <m:e>
              <m:r>
                <m:t>T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{</m:t>
              </m:r>
              <m:r>
                <m:t>x</m:t>
              </m:r>
              <m:r>
                <m:rPr>
                  <m:sty m:val="p"/>
                </m:rPr>
                <m:t>∣</m:t>
              </m:r>
              <m:r>
                <m:t>U</m:t>
              </m:r>
              <m:r>
                <m:rPr>
                  <m:sty m:val="p"/>
                </m:rPr>
                <m:t>&lt;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S</m:t>
              </m:r>
              <m:r>
                <m:rPr>
                  <m:sty m:val="p"/>
                </m:rPr>
                <m:t>}</m:t>
              </m:r>
            </m:e>
            <m:e>
              <m:r>
                <m:t>U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</m:e>
            <m:e>
              <m:r>
                <m:t>S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  <m:e>
              <m:r>
                <m:t>T</m:t>
              </m:r>
              <m:r>
                <m:t>r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eqArr>
        </m:oMath>
      </m:oMathPara>
    </w:p>
    <w:bookmarkEnd w:id="46"/>
    <w:bookmarkStart w:id="47" w:name="abgeleitete-theoreme"/>
    <w:p>
      <w:pPr>
        <w:pStyle w:val="Heading2"/>
      </w:pPr>
      <w:r>
        <w:t xml:space="preserve">Abgeleitete Theoreme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&amp;</m:t>
              </m:r>
              <m:r>
                <m:rPr>
                  <m:sty m:val="p"/>
                </m:rPr>
                <m:t>∃</m:t>
              </m:r>
              <m:r>
                <m:t>T</m:t>
              </m:r>
              <m:r>
                <m:t> </m:t>
              </m:r>
              <m:r>
                <m:rPr>
                  <m:nor/>
                  <m:sty m:val="p"/>
                </m:rPr>
                <m:t>(aus A4)</m:t>
              </m:r>
            </m:e>
            <m:e>
              <m:r>
                <m:t>&amp;</m:t>
              </m:r>
              <m:r>
                <m:rPr>
                  <m:sty m:val="p"/>
                </m:rPr>
                <m:t>◇</m:t>
              </m:r>
              <m:r>
                <m:t>C</m:t>
              </m:r>
              <m:r>
                <m:t> </m:t>
              </m:r>
              <m:r>
                <m:rPr>
                  <m:nor/>
                  <m:sty m:val="p"/>
                </m:rPr>
                <m:t>(A5 – aus A1, A11)</m:t>
              </m:r>
            </m:e>
            <m:e>
              <m:r>
                <m:t>&amp;</m:t>
              </m:r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◇</m:t>
              </m:r>
              <m:r>
                <m:t>p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s</m:t>
              </m:r>
              <m:r>
                <m:t>i</m:t>
              </m:r>
              <m:r>
                <m:t>e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(A2 – aus A1, A11, A12)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(aus Fall 1)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(aus Fall 2 + Superposition)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(aus Fall 3)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↔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↔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↔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bookmarkEnd w:id="47"/>
    <w:bookmarkEnd w:id="48"/>
    <w:bookmarkStart w:id="49" w:name="schluss"/>
    <w:p>
      <w:pPr>
        <w:pStyle w:val="Heading1"/>
      </w:pPr>
      <w:r>
        <w:t xml:space="preserve">Schluss</w:t>
      </w:r>
    </w:p>
    <w:p>
      <w:pPr>
        <w:pStyle w:val="FirstParagraph"/>
      </w:pPr>
      <w:r>
        <w:t xml:space="preserve">Die Abhandlung hat gezeigt: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In reinem S5</w:t>
      </w:r>
      <w:r>
        <w:t xml:space="preserve"> </w:t>
      </w:r>
      <w:r>
        <w:t xml:space="preserve">ist die Trinität</w:t>
      </w:r>
      <w:r>
        <w:t xml:space="preserve"> </w:t>
      </w:r>
      <w:r>
        <w:rPr>
          <w:b/>
          <w:bCs/>
        </w:rPr>
        <w:t xml:space="preserve">nicht beweisbar</w:t>
      </w:r>
      <w:r>
        <w:t xml:space="preserve"> </w:t>
      </w:r>
      <w:r>
        <w:t xml:space="preserve">(Teil I).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Im erweiterten System S5+SP</w:t>
      </w:r>
      <w:r>
        <w:t xml:space="preserve"> </w:t>
      </w:r>
      <w:r>
        <w:t xml:space="preserve">(mit Superpositions-Axiomen) ist die Trinität</w:t>
      </w:r>
      <w:r>
        <w:t xml:space="preserve"> </w:t>
      </w:r>
      <w:r>
        <w:rPr>
          <w:b/>
          <w:bCs/>
        </w:rPr>
        <w:t xml:space="preserve">beweisbar</w:t>
      </w:r>
      <w:r>
        <w:t xml:space="preserve"> </w:t>
      </w:r>
      <w:r>
        <w:t xml:space="preserve">(Teil II).</w:t>
      </w:r>
    </w:p>
    <w:p>
      <w:pPr>
        <w:numPr>
          <w:ilvl w:val="0"/>
          <w:numId w:val="1011"/>
        </w:numPr>
      </w:pPr>
      <w:r>
        <w:t xml:space="preserve">Die entscheidende metaphysische Last liegt auf den Superpositions-Axiomen – sie sind</w:t>
      </w:r>
      <w:r>
        <w:t xml:space="preserve"> </w:t>
      </w:r>
      <w:r>
        <w:rPr>
          <w:b/>
          <w:bCs/>
        </w:rPr>
        <w:t xml:space="preserve">keine logischen Theoreme</w:t>
      </w:r>
      <w:r>
        <w:t xml:space="preserve">, sondern</w:t>
      </w:r>
      <w:r>
        <w:t xml:space="preserve"> </w:t>
      </w:r>
      <w:r>
        <w:rPr>
          <w:b/>
          <w:bCs/>
        </w:rPr>
        <w:t xml:space="preserve">zusätzliche Annahmen</w:t>
      </w:r>
      <w:r>
        <w:t xml:space="preserve">.</w:t>
      </w:r>
    </w:p>
    <w:p>
      <w:pPr>
        <w:pStyle w:val="FirstParagraph"/>
      </w:pPr>
      <w:r>
        <w:t xml:space="preserve">Die formale Arbeit hat damit die logischen und metaphysischen Anforderungen eines solchen Beweises präzise herausgearbeitet. Die entscheidende Frage – ob die Superpositionsaxiome wahr sind – bleibt einer philosophischen oder physikalischen Untersuchung vorbehalten. Die Logik hat ihr Werk getan: Sie hat die Konsequenzen der Annahmen expliziert und die Grenzen des reinen S5 klar benannt.</w:t>
      </w:r>
    </w:p>
    <w:p>
      <w:pPr>
        <w:pStyle w:val="BlockText"/>
      </w:pPr>
      <w:r>
        <w:rPr>
          <w:b/>
          <w:bCs/>
        </w:rPr>
        <w:t xml:space="preserve">Die Trinität ist keine zusätzliche Entität, sondern eine Strukturbedingung – aber sie ist nur unter der Superpositions-Hypothese beweisbar.</w:t>
      </w:r>
    </w:p>
    <w:p>
      <w:pPr>
        <w:pStyle w:val="FirstParagraph"/>
      </w:pPr>
      <w:r>
        <w:rPr>
          <w:i/>
          <w:iCs/>
        </w:rPr>
        <w:t xml:space="preserve">Diese Abhandlung wurde im Geiste strenger Modallogik verfasst, jedoch in der Sprache der Philosophie – denn die Wahrheit bedarf beider: der Präzision der Formel und der Weite des Begriffs.</w:t>
      </w:r>
    </w:p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de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modal4</dc:title>
  <dc:creator>Paul Koop</dc:creator>
  <dc:language>de</dc:language>
  <cp:keywords/>
  <dcterms:created xsi:type="dcterms:W3CDTF">2026-07-28T01:16:01Z</dcterms:created>
  <dcterms:modified xsi:type="dcterms:W3CDTF">2026-07-28T01:16:01Z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</Properties>
</file>