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modal5</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i/>
          <w:iCs/>
        </w:rPr>
        <w:t xml:space="preserve">Vergangenheit und Zukunft sind Horizonte des Wissens.</w:t>
      </w:r>
      <w:r>
        <w:br/>
      </w:r>
      <w:r>
        <w:rPr>
          <w:i/>
          <w:iCs/>
        </w:rPr>
        <w:t xml:space="preserve">Die Gegenwart ist der Ort der Wirklichkeit.</w:t>
      </w:r>
      <w:r>
        <w:br/>
      </w:r>
      <w:r>
        <w:rPr>
          <w:i/>
          <w:iCs/>
        </w:rPr>
        <w:t xml:space="preserve">Nichts, was war, geht verloren.</w:t>
      </w:r>
    </w:p>
    <w:p>
      <w:pPr>
        <w:pStyle w:val="BodyText"/>
      </w:pPr>
      <w:r>
        <w:t xml:space="preserve"> </w:t>
      </w:r>
    </w:p>
    <w:bookmarkStart w:id="11" w:name="X06b15a4fa69708da3906ef7b74d46fcbb92c10d"/>
    <w:p>
      <w:pPr>
        <w:pStyle w:val="Heading1"/>
      </w:pPr>
      <w:r>
        <w:t xml:space="preserve">Vorwort: Was diese Arbeit ist – und was sie nicht ist</w:t>
      </w:r>
    </w:p>
    <w:p>
      <w:pPr>
        <w:pStyle w:val="FirstParagraph"/>
      </w:pPr>
      <w:r>
        <w:t xml:space="preserve">Diese Arbeit verfolgt ausdrücklich nicht das Ziel, die Wahrheit einer metaphysischen oder theologischen Aussage zu beweisen.</w:t>
      </w:r>
    </w:p>
    <w:p>
      <w:pPr>
        <w:pStyle w:val="BodyText"/>
      </w:pPr>
      <w:r>
        <w:t xml:space="preserve">Sie untersucht vielmehr die</w:t>
      </w:r>
      <w:r>
        <w:t xml:space="preserve"> </w:t>
      </w:r>
      <w:r>
        <w:rPr>
          <w:b/>
          <w:bCs/>
        </w:rPr>
        <w:t xml:space="preserve">logische Struktur einer Axiomatik</w:t>
      </w:r>
      <w:r>
        <w:t xml:space="preserve">. Gefragt wird nicht, ob die Trinitätsstruktur existiert, sondern</w:t>
      </w:r>
      <w:r>
        <w:t xml:space="preserve"> </w:t>
      </w:r>
      <w:r>
        <w:rPr>
          <w:b/>
          <w:bCs/>
        </w:rPr>
        <w:t xml:space="preserve">welche zusätzlichen Annahmen erforderlich sind, damit sie aus einer monistischen Modalontologie folgt</w:t>
      </w:r>
      <w:r>
        <w:t xml:space="preserve">.</w:t>
      </w:r>
    </w:p>
    <w:p>
      <w:pPr>
        <w:pStyle w:val="BodyText"/>
      </w:pPr>
      <w:r>
        <w:t xml:space="preserve">Die Untersuchung ist daher</w:t>
      </w:r>
      <w:r>
        <w:t xml:space="preserve"> </w:t>
      </w:r>
      <w:r>
        <w:rPr>
          <w:b/>
          <w:bCs/>
        </w:rPr>
        <w:t xml:space="preserve">metalogisch</w:t>
      </w:r>
      <w:r>
        <w:t xml:space="preserve">: Sie bestimmt eine hinreichende metaphysische Zusatzstruktur – nicht physikalische Mechanismen oder empirische Tatsachen. Die Frage nach der Minimalität dieser Struktur bleibt offen und ist Gegenstand zukünftiger Untersuchungen.</w:t>
      </w:r>
    </w:p>
    <w:bookmarkStart w:id="9" w:name="vier-ebenen-der-untersuchung"/>
    <w:p>
      <w:pPr>
        <w:pStyle w:val="Heading2"/>
      </w:pPr>
      <w:r>
        <w:t xml:space="preserve">Vier Ebenen der Untersuchung</w:t>
      </w:r>
    </w:p>
    <w:p>
      <w:pPr>
        <w:pStyle w:val="FirstParagraph"/>
      </w:pPr>
      <w:r>
        <w:t xml:space="preserve">Die Arbeit unterscheidet vier Ebenen: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rPr>
                <w:b/>
                <w:bCs/>
              </w:rPr>
              <w:t xml:space="preserve">Ebene</w:t>
            </w:r>
          </w:p>
        </w:tc>
        <w:tc>
          <w:tcPr/>
          <w:p>
            <w:pPr>
              <w:pStyle w:val="Compact"/>
              <w:jc w:val="left"/>
            </w:pPr>
            <w:r>
              <w:rPr>
                <w:b/>
                <w:bCs/>
              </w:rPr>
              <w:t xml:space="preserve">Frage</w:t>
            </w:r>
          </w:p>
        </w:tc>
        <w:tc>
          <w:tcPr/>
          <w:p>
            <w:pPr>
              <w:pStyle w:val="Compact"/>
              <w:jc w:val="left"/>
            </w:pPr>
            <w:r>
              <w:rPr>
                <w:b/>
                <w:bCs/>
              </w:rPr>
              <w:t xml:space="preserve">Methode</w:t>
            </w:r>
          </w:p>
        </w:tc>
      </w:tr>
      <w:tr>
        <w:tc>
          <w:tcPr/>
          <w:p>
            <w:pPr>
              <w:pStyle w:val="Compact"/>
              <w:jc w:val="left"/>
            </w:pPr>
            <w:r>
              <w:rPr>
                <w:b/>
                <w:bCs/>
              </w:rPr>
              <w:t xml:space="preserve">Logik</w:t>
            </w:r>
          </w:p>
        </w:tc>
        <w:tc>
          <w:tcPr/>
          <w:p>
            <w:pPr>
              <w:pStyle w:val="Compact"/>
              <w:jc w:val="left"/>
            </w:pPr>
            <w:r>
              <w:t xml:space="preserve">Welche Strukturen sind widerspruchsfrei?</w:t>
            </w:r>
          </w:p>
        </w:tc>
        <w:tc>
          <w:tcPr/>
          <w:p>
            <w:pPr>
              <w:pStyle w:val="Compact"/>
              <w:jc w:val="left"/>
            </w:pPr>
            <w:r>
              <w:t xml:space="preserve">Formale Beweise, Tableaus, Modelltheorie.</w:t>
            </w:r>
          </w:p>
        </w:tc>
      </w:tr>
      <w:tr>
        <w:tc>
          <w:tcPr/>
          <w:p>
            <w:pPr>
              <w:pStyle w:val="Compact"/>
              <w:jc w:val="left"/>
            </w:pPr>
            <w:r>
              <w:rPr>
                <w:b/>
                <w:bCs/>
              </w:rPr>
              <w:t xml:space="preserve">Metaphysik</w:t>
            </w:r>
          </w:p>
        </w:tc>
        <w:tc>
          <w:tcPr/>
          <w:p>
            <w:pPr>
              <w:pStyle w:val="Compact"/>
              <w:jc w:val="left"/>
            </w:pPr>
            <w:r>
              <w:t xml:space="preserve">Welche Strukturbedingungen sind hinreichend?</w:t>
            </w:r>
          </w:p>
        </w:tc>
        <w:tc>
          <w:tcPr/>
          <w:p>
            <w:pPr>
              <w:pStyle w:val="Compact"/>
              <w:jc w:val="left"/>
            </w:pPr>
            <w:r>
              <w:t xml:space="preserve">Axiomatische Analyse.</w:t>
            </w:r>
          </w:p>
        </w:tc>
      </w:tr>
      <w:tr>
        <w:tc>
          <w:tcPr/>
          <w:p>
            <w:pPr>
              <w:pStyle w:val="Compact"/>
              <w:jc w:val="left"/>
            </w:pPr>
            <w:r>
              <w:rPr>
                <w:b/>
                <w:bCs/>
              </w:rPr>
              <w:t xml:space="preserve">Physik</w:t>
            </w:r>
          </w:p>
        </w:tc>
        <w:tc>
          <w:tcPr/>
          <w:p>
            <w:pPr>
              <w:pStyle w:val="Compact"/>
              <w:jc w:val="left"/>
            </w:pPr>
            <w:r>
              <w:t xml:space="preserve">Durch welche Prozesse werden diese Bedingungen realisiert?</w:t>
            </w:r>
          </w:p>
        </w:tc>
        <w:tc>
          <w:tcPr/>
          <w:p>
            <w:pPr>
              <w:pStyle w:val="Compact"/>
              <w:jc w:val="left"/>
            </w:pPr>
            <w:r>
              <w:t xml:space="preserve">Empirische Wissenschaft, Technologie.</w:t>
            </w:r>
          </w:p>
        </w:tc>
      </w:tr>
      <w:tr>
        <w:tc>
          <w:tcPr/>
          <w:p>
            <w:pPr>
              <w:pStyle w:val="Compact"/>
              <w:jc w:val="left"/>
            </w:pPr>
            <w:r>
              <w:rPr>
                <w:b/>
                <w:bCs/>
              </w:rPr>
              <w:t xml:space="preserve">Theologie/Hermeneutik</w:t>
            </w:r>
          </w:p>
        </w:tc>
        <w:tc>
          <w:tcPr/>
          <w:p>
            <w:pPr>
              <w:pStyle w:val="Compact"/>
              <w:jc w:val="left"/>
            </w:pPr>
            <w:r>
              <w:t xml:space="preserve">Wie werden diese Strukturen gedeutet?</w:t>
            </w:r>
          </w:p>
        </w:tc>
        <w:tc>
          <w:tcPr/>
          <w:p>
            <w:pPr>
              <w:pStyle w:val="Compact"/>
              <w:jc w:val="left"/>
            </w:pPr>
            <w:r>
              <w:t xml:space="preserve">Interpretation, Sprachgebrauch, Tradition.</w:t>
            </w:r>
          </w:p>
        </w:tc>
      </w:tr>
    </w:tbl>
    <w:p>
      <w:pPr>
        <w:pStyle w:val="BodyText"/>
      </w:pPr>
      <w:r>
        <w:t xml:space="preserve">Die formale Kernuntersuchung operiert</w:t>
      </w:r>
      <w:r>
        <w:t xml:space="preserve"> </w:t>
      </w:r>
      <w:r>
        <w:rPr>
          <w:b/>
          <w:bCs/>
        </w:rPr>
        <w:t xml:space="preserve">ausschließlich</w:t>
      </w:r>
      <w:r>
        <w:t xml:space="preserve"> </w:t>
      </w:r>
      <w:r>
        <w:t xml:space="preserve">auf den ersten beiden Ebenen. Die späteren Teile (III und der hermeneutische Ausblick) zeigen, wie diese formalen Strukturen an physikalische und hermeneutische Fragen anschlussfähig sind, ohne sie selbst zu beantworten.</w:t>
      </w:r>
    </w:p>
    <w:bookmarkEnd w:id="9"/>
    <w:bookmarkStart w:id="10" w:name="Xb9f196bd6a546d9319778133c8a604086ee3613"/>
    <w:p>
      <w:pPr>
        <w:pStyle w:val="Heading2"/>
      </w:pPr>
      <w:r>
        <w:t xml:space="preserve">Zur Verwendung des Begriffs „Superposition“</w:t>
      </w:r>
    </w:p>
    <w:p>
      <w:pPr>
        <w:pStyle w:val="FirstParagraph"/>
      </w:pPr>
      <w:r>
        <w:t xml:space="preserve">Der Begriff „Superposition“ wird in dieser Arbeit</w:t>
      </w:r>
      <w:r>
        <w:t xml:space="preserve"> </w:t>
      </w:r>
      <w:r>
        <w:rPr>
          <w:b/>
          <w:bCs/>
        </w:rPr>
        <w:t xml:space="preserve">axiomatisch</w:t>
      </w:r>
      <w:r>
        <w:t xml:space="preserve"> </w:t>
      </w:r>
      <w:r>
        <w:t xml:space="preserve">verwendet. Es wird nicht behauptet, dass die physikalische Quantenmechanik bereits diese ontologische Rolle beweise. Die Superpositions-Axiome ASP1–ASP5 sind</w:t>
      </w:r>
      <w:r>
        <w:t xml:space="preserve"> </w:t>
      </w:r>
      <w:r>
        <w:rPr>
          <w:b/>
          <w:bCs/>
        </w:rPr>
        <w:t xml:space="preserve">metaphysische Annahmen</w:t>
      </w:r>
      <w:r>
        <w:t xml:space="preserve">, keine physikalischen Theoreme. Sie formalisieren die Idee eines Urzustands, in dem alle Möglichkeiten ungetrennt enthalten sind – unabhängig davon, ob und wie dieser Zustand physikalisch realisiert ist.</w:t>
      </w:r>
    </w:p>
    <w:p>
      <w:pPr>
        <w:pStyle w:val="BodyText"/>
      </w:pPr>
      <w:r>
        <w:t xml:space="preserve">Die zentrale Aussage dieser Arbeit lautet:</w:t>
      </w:r>
    </w:p>
    <w:p>
      <w:pPr>
        <w:pStyle w:val="BlockText"/>
      </w:pPr>
      <w:r>
        <w:rPr>
          <w:b/>
          <w:bCs/>
        </w:rPr>
        <w:t xml:space="preserve">Die Untersuchung bestimmt eine hinreichende metaphysische Zusatzstruktur, aus der die Trinitätsstruktur folgt. Die Frage nach ihrer Minimalität bleibt offen.</w:t>
      </w:r>
    </w:p>
    <w:bookmarkEnd w:id="10"/>
    <w:bookmarkEnd w:id="11"/>
    <w:bookmarkStart w:id="12" w:name="kriterien-der-axiomwahl"/>
    <w:p>
      <w:pPr>
        <w:pStyle w:val="Heading1"/>
      </w:pPr>
      <w:r>
        <w:t xml:space="preserve">Kriterien der Axiomwahl</w:t>
      </w:r>
    </w:p>
    <w:p>
      <w:pPr>
        <w:pStyle w:val="FirstParagraph"/>
      </w:pPr>
      <w:r>
        <w:t xml:space="preserve">Die in dieser Arbeit verwendeten Axiome sind nicht willkürlich gewählt. Sie formalisieren bestimmte philosophische Intuitionen, die in der Tradition der monistischen Metaphysik verankert sind:</w:t>
      </w:r>
    </w:p>
    <w:p>
      <w:pPr>
        <w:numPr>
          <w:ilvl w:val="0"/>
          <w:numId w:val="1001"/>
        </w:numPr>
      </w:pPr>
      <w:r>
        <w:rPr>
          <w:b/>
          <w:bCs/>
        </w:rPr>
        <w:t xml:space="preserve">A1 (Monismus):</w:t>
      </w:r>
      <w:r>
        <w:t xml:space="preserve"> </w:t>
      </w:r>
      <w:r>
        <w:t xml:space="preserve">Die Einheit der Wirklichkeit – eine Grundintuition des Parmenides, des Neuplatonismus und der idealistischen Tradition.</w:t>
      </w:r>
    </w:p>
    <w:p>
      <w:pPr>
        <w:numPr>
          <w:ilvl w:val="0"/>
          <w:numId w:val="1001"/>
        </w:numPr>
      </w:pPr>
      <w:r>
        <w:rPr>
          <w:b/>
          <w:bCs/>
        </w:rPr>
        <w:t xml:space="preserve">A11 (Transzendentale Brücke):</w:t>
      </w:r>
      <w:r>
        <w:t xml:space="preserve"> </w:t>
      </w:r>
      <w:r>
        <w:t xml:space="preserve">Die Unmöglichkeit einer unerkennbaren Welt – eine kantische Einsicht, die besagt, dass die Bedingungen der Erfahrung auch die Bedingungen der Gegenstände der Erfahrung sind.</w:t>
      </w:r>
    </w:p>
    <w:p>
      <w:pPr>
        <w:numPr>
          <w:ilvl w:val="0"/>
          <w:numId w:val="1001"/>
        </w:numPr>
      </w:pPr>
      <w:r>
        <w:rPr>
          <w:b/>
          <w:bCs/>
        </w:rPr>
        <w:t xml:space="preserve">A12 (Erfahrbarkeit ↔ Realisierung):</w:t>
      </w:r>
      <w:r>
        <w:t xml:space="preserve"> </w:t>
      </w:r>
      <w:r>
        <w:t xml:space="preserve">Die Identität von Erfahrbarkeit und Realisation – eine pragmatistische oder transzendentale Annahme.</w:t>
      </w:r>
    </w:p>
    <w:p>
      <w:pPr>
        <w:numPr>
          <w:ilvl w:val="0"/>
          <w:numId w:val="1001"/>
        </w:numPr>
      </w:pPr>
      <w:r>
        <w:rPr>
          <w:b/>
          <w:bCs/>
        </w:rPr>
        <w:t xml:space="preserve">ASP1–ASP5 (Superposition):</w:t>
      </w:r>
      <w:r>
        <w:t xml:space="preserve"> </w:t>
      </w:r>
      <w:r>
        <w:t xml:space="preserve">Die Idee eines Urzustands, in dem alle Möglichkeiten ungetrennt enthalten sind – eine Intuition, die sich in der spekulativen Metaphysik (z.B. bei Schelling oder im Neuplatonismus) findet, aber auch in der Quantenphysik als Analogie dient.</w:t>
      </w:r>
    </w:p>
    <w:p>
      <w:pPr>
        <w:pStyle w:val="FirstParagraph"/>
      </w:pPr>
      <w:r>
        <w:t xml:space="preserve">Die Wahl der Axiome ist durch das Ziel geleitet, eine</w:t>
      </w:r>
      <w:r>
        <w:t xml:space="preserve"> </w:t>
      </w:r>
      <w:r>
        <w:rPr>
          <w:b/>
          <w:bCs/>
        </w:rPr>
        <w:t xml:space="preserve">hinreichende</w:t>
      </w:r>
      <w:r>
        <w:t xml:space="preserve"> </w:t>
      </w:r>
      <w:r>
        <w:t xml:space="preserve">Struktur zu finden, die die Trinitätsstruktur aus einer monistischen Modalontologie folgen lässt. Andere Axiomatisierungen sind möglich und könnten zu anderen Konsequenzen führen. Die Axiome sind daher nicht als letzte Wahrheit zu verstehen, sondern als</w:t>
      </w:r>
      <w:r>
        <w:t xml:space="preserve"> </w:t>
      </w:r>
      <w:r>
        <w:rPr>
          <w:b/>
          <w:bCs/>
        </w:rPr>
        <w:t xml:space="preserve">hypothetische Annahmen</w:t>
      </w:r>
      <w:r>
        <w:t xml:space="preserve">, deren Konsequenzen untersucht werden. Dies entspricht dem methodischen Selbstverständnis der Arbeit als metalogische Untersuchung.</w:t>
      </w:r>
    </w:p>
    <w:bookmarkEnd w:id="12"/>
    <w:bookmarkStart w:id="13" w:name="X68616ad0647684c2a6cf78e69a356ed0103958f"/>
    <w:p>
      <w:pPr>
        <w:pStyle w:val="Heading1"/>
      </w:pPr>
      <w:r>
        <w:t xml:space="preserve">Einleitung: Methodische Selbstbeschränkung</w:t>
      </w:r>
    </w:p>
    <w:p>
      <w:pPr>
        <w:pStyle w:val="FirstParagraph"/>
      </w:pPr>
      <w:r>
        <w:t xml:space="preserve">Die klassische Metaphysik hat immer wieder versucht, die Grundstruktur der Wirklichkeit aus wenigen fundamentalen Prinzipien abzuleiten. Eine besondere Herausforderung entsteht dabei durch drei scheinbar verschiedene Aspekte:</w:t>
      </w:r>
    </w:p>
    <w:p>
      <w:pPr>
        <w:numPr>
          <w:ilvl w:val="0"/>
          <w:numId w:val="1002"/>
        </w:numPr>
      </w:pPr>
      <w:r>
        <w:rPr>
          <w:b/>
          <w:bCs/>
        </w:rPr>
        <w:t xml:space="preserve">Warum gibt es überhaupt etwas und nicht vielmehr nichts?</w:t>
      </w:r>
      <w:r>
        <w:t xml:space="preserve"> </w:t>
      </w:r>
      <w:r>
        <w:t xml:space="preserve">– der Ursprung (U).</w:t>
      </w:r>
    </w:p>
    <w:p>
      <w:pPr>
        <w:numPr>
          <w:ilvl w:val="0"/>
          <w:numId w:val="1002"/>
        </w:numPr>
      </w:pPr>
      <w:r>
        <w:rPr>
          <w:b/>
          <w:bCs/>
        </w:rPr>
        <w:t xml:space="preserve">Wie verhält sich die Gesamtheit aller Möglichkeiten zur Wirklichkeit?</w:t>
      </w:r>
      <w:r>
        <w:t xml:space="preserve"> </w:t>
      </w:r>
      <w:r>
        <w:t xml:space="preserve">– die Totalität (T).</w:t>
      </w:r>
    </w:p>
    <w:p>
      <w:pPr>
        <w:numPr>
          <w:ilvl w:val="0"/>
          <w:numId w:val="1002"/>
        </w:numPr>
      </w:pPr>
      <w:r>
        <w:rPr>
          <w:b/>
          <w:bCs/>
        </w:rPr>
        <w:t xml:space="preserve">Wie kann innerhalb der Wirklichkeit ein Zustand entstehen, der die Wirklichkeit selbst erkennt?</w:t>
      </w:r>
      <w:r>
        <w:t xml:space="preserve"> </w:t>
      </w:r>
      <w:r>
        <w:t xml:space="preserve">– die Selbsterkenntnis (S).</w:t>
      </w:r>
    </w:p>
    <w:p>
      <w:pPr>
        <w:pStyle w:val="FirstParagraph"/>
      </w:pPr>
      <w:r>
        <w:t xml:space="preserve">Die hier untersuchte Ontologie schlägt vor, diese drei Fragen nicht durch drei getrennte metaphysische Substanzen zu beantworten, sondern durch drei notwendige Perspektiven derselben Wirklichkeit.</w:t>
      </w:r>
    </w:p>
    <w:p>
      <w:pPr>
        <w:pStyle w:val="BodyText"/>
      </w:pPr>
      <w:r>
        <w:t xml:space="preserve">Die vorliegende Arbeit ist jedoch</w:t>
      </w:r>
      <w:r>
        <w:t xml:space="preserve"> </w:t>
      </w:r>
      <w:r>
        <w:rPr>
          <w:b/>
          <w:bCs/>
        </w:rPr>
        <w:t xml:space="preserve">kein Beweis der Existenz</w:t>
      </w:r>
      <w:r>
        <w:t xml:space="preserve"> </w:t>
      </w:r>
      <w:r>
        <w:t xml:space="preserve">dieser Struktur. Sie ist eine</w:t>
      </w:r>
      <w:r>
        <w:t xml:space="preserve"> </w:t>
      </w:r>
      <w:r>
        <w:rPr>
          <w:b/>
          <w:bCs/>
        </w:rPr>
        <w:t xml:space="preserve">metalogische Untersuchung</w:t>
      </w:r>
      <w:r>
        <w:t xml:space="preserve"> </w:t>
      </w:r>
      <w:r>
        <w:t xml:space="preserve">über die Axiome, die benötigt werden, damit diese Struktur aus einer monistischen Modalontologie folgt.</w:t>
      </w:r>
    </w:p>
    <w:bookmarkEnd w:id="13"/>
    <w:bookmarkStart w:id="16" w:name="formale-sprache-und-logischer-rahmen"/>
    <w:p>
      <w:pPr>
        <w:pStyle w:val="Heading1"/>
      </w:pPr>
      <w:r>
        <w:t xml:space="preserve">Formale Sprache und logischer Rahmen</w:t>
      </w:r>
    </w:p>
    <w:bookmarkStart w:id="14" w:name="modallogik-s5"/>
    <w:p>
      <w:pPr>
        <w:pStyle w:val="Heading2"/>
      </w:pPr>
      <w:r>
        <w:t xml:space="preserve">Modallogik S5</w:t>
      </w:r>
    </w:p>
    <w:p>
      <w:pPr>
        <w:pStyle w:val="FirstParagraph"/>
      </w:pPr>
      <w:r>
        <w:t xml:space="preserve">Wir arbeiten in der Modallogik erster Stufe mit Identität im System S5:</w:t>
      </w:r>
    </w:p>
    <w:p>
      <w:pPr>
        <w:numPr>
          <w:ilvl w:val="0"/>
          <w:numId w:val="1003"/>
        </w:numPr>
      </w:pPr>
      <w:r>
        <w:rPr>
          <w:b/>
          <w:bCs/>
        </w:rPr>
        <w:t xml:space="preserve">Notwendigkeit:</w:t>
      </w:r>
      <w:r>
        <w:t xml:space="preserve"> </w:t>
      </w:r>
      <m:oMath>
        <m:r>
          <m:rPr>
            <m:sty m:val="p"/>
          </m:rPr>
          <m:t>□</m:t>
        </m:r>
        <m:r>
          <m:t>p</m:t>
        </m:r>
      </m:oMath>
    </w:p>
    <w:p>
      <w:pPr>
        <w:numPr>
          <w:ilvl w:val="0"/>
          <w:numId w:val="1003"/>
        </w:numPr>
      </w:pPr>
      <w:r>
        <w:rPr>
          <w:b/>
          <w:bCs/>
        </w:rPr>
        <w:t xml:space="preserve">Möglichkeit:</w:t>
      </w:r>
      <w:r>
        <w:t xml:space="preserve"> </w:t>
      </w:r>
      <m:oMath>
        <m:r>
          <m:rPr>
            <m:sty m:val="p"/>
          </m:rPr>
          <m:t>◇</m:t>
        </m:r>
        <m:r>
          <m:t>p</m:t>
        </m:r>
        <m:box>
          <m:boxPr>
            <m:opEmu m:val="on"/>
          </m:boxPr>
          <m:e>
            <m:r>
              <m:rPr>
                <m:sty m:val="p"/>
              </m:rPr>
              <m:t>:=</m:t>
            </m:r>
          </m:e>
        </m:box>
        <m:r>
          <m:rPr>
            <m:sty m:val="p"/>
          </m:rPr>
          <m:t>¬</m:t>
        </m:r>
        <m:r>
          <m:rPr>
            <m:sty m:val="p"/>
          </m:rPr>
          <m:t>□</m:t>
        </m:r>
        <m:r>
          <m:rPr>
            <m:sty m:val="p"/>
          </m:rPr>
          <m:t>¬</m:t>
        </m:r>
        <m:r>
          <m:t>p</m:t>
        </m:r>
      </m:oMath>
    </w:p>
    <w:p>
      <w:pPr>
        <w:pStyle w:val="FirstParagraph"/>
      </w:pPr>
      <w:r>
        <w:rPr>
          <w:b/>
          <w:bCs/>
        </w:rPr>
        <w:t xml:space="preserve">Axiome von S5:</w:t>
      </w:r>
    </w:p>
    <w:p>
      <w:pPr>
        <w:numPr>
          <w:ilvl w:val="0"/>
          <w:numId w:val="1004"/>
        </w:numPr>
      </w:pPr>
      <w:r>
        <w:t xml:space="preserve">(K)</w:t>
      </w:r>
      <w:r>
        <w:t xml:space="preserve"> </w:t>
      </w:r>
      <m:oMath>
        <m:r>
          <m:rPr>
            <m:sty m:val="p"/>
          </m:rPr>
          <m:t>□</m:t>
        </m:r>
        <m:r>
          <m:rPr>
            <m:sty m:val="p"/>
          </m:rPr>
          <m:t>(</m:t>
        </m:r>
        <m:r>
          <m:t>p</m:t>
        </m:r>
        <m:r>
          <m:rPr>
            <m:sty m:val="p"/>
          </m:rPr>
          <m:t>→</m:t>
        </m:r>
        <m:r>
          <m:t>q</m:t>
        </m:r>
        <m:r>
          <m:rPr>
            <m:sty m:val="p"/>
          </m:rPr>
          <m:t>)</m:t>
        </m:r>
        <m:r>
          <m:rPr>
            <m:sty m:val="p"/>
          </m:rPr>
          <m:t>→</m:t>
        </m:r>
        <m:r>
          <m:rPr>
            <m:sty m:val="p"/>
          </m:rPr>
          <m:t>(</m:t>
        </m:r>
        <m:r>
          <m:rPr>
            <m:sty m:val="p"/>
          </m:rPr>
          <m:t>□</m:t>
        </m:r>
        <m:r>
          <m:t>p</m:t>
        </m:r>
        <m:r>
          <m:rPr>
            <m:sty m:val="p"/>
          </m:rPr>
          <m:t>→</m:t>
        </m:r>
        <m:r>
          <m:rPr>
            <m:sty m:val="p"/>
          </m:rPr>
          <m:t>□</m:t>
        </m:r>
        <m:r>
          <m:t>q</m:t>
        </m:r>
        <m:r>
          <m:rPr>
            <m:sty m:val="p"/>
          </m:rPr>
          <m:t>)</m:t>
        </m:r>
      </m:oMath>
    </w:p>
    <w:p>
      <w:pPr>
        <w:numPr>
          <w:ilvl w:val="0"/>
          <w:numId w:val="1004"/>
        </w:numPr>
      </w:pPr>
      <w:r>
        <w:t xml:space="preserve">(T)</w:t>
      </w:r>
      <w:r>
        <w:t xml:space="preserve"> </w:t>
      </w:r>
      <m:oMath>
        <m:r>
          <m:rPr>
            <m:sty m:val="p"/>
          </m:rPr>
          <m:t>□</m:t>
        </m:r>
        <m:r>
          <m:t>p</m:t>
        </m:r>
        <m:r>
          <m:rPr>
            <m:sty m:val="p"/>
          </m:rPr>
          <m:t>→</m:t>
        </m:r>
        <m:r>
          <m:t>p</m:t>
        </m:r>
      </m:oMath>
    </w:p>
    <w:p>
      <w:pPr>
        <w:numPr>
          <w:ilvl w:val="0"/>
          <w:numId w:val="1004"/>
        </w:numPr>
      </w:pPr>
      <w:r>
        <w:t xml:space="preserve">(4)</w:t>
      </w:r>
      <w:r>
        <w:t xml:space="preserve"> </w:t>
      </w:r>
      <m:oMath>
        <m:r>
          <m:rPr>
            <m:sty m:val="p"/>
          </m:rPr>
          <m:t>□</m:t>
        </m:r>
        <m:r>
          <m:t>p</m:t>
        </m:r>
        <m:r>
          <m:rPr>
            <m:sty m:val="p"/>
          </m:rPr>
          <m:t>→</m:t>
        </m:r>
        <m:r>
          <m:rPr>
            <m:sty m:val="p"/>
          </m:rPr>
          <m:t>□</m:t>
        </m:r>
        <m:r>
          <m:rPr>
            <m:sty m:val="p"/>
          </m:rPr>
          <m:t>□</m:t>
        </m:r>
        <m:r>
          <m:t>p</m:t>
        </m:r>
      </m:oMath>
    </w:p>
    <w:p>
      <w:pPr>
        <w:numPr>
          <w:ilvl w:val="0"/>
          <w:numId w:val="1004"/>
        </w:numPr>
      </w:pPr>
      <w:r>
        <w:t xml:space="preserve">(5)</w:t>
      </w:r>
      <w:r>
        <w:t xml:space="preserve"> </w:t>
      </w:r>
      <m:oMath>
        <m:r>
          <m:rPr>
            <m:sty m:val="p"/>
          </m:rPr>
          <m:t>◇</m:t>
        </m:r>
        <m:r>
          <m:t>p</m:t>
        </m:r>
        <m:r>
          <m:rPr>
            <m:sty m:val="p"/>
          </m:rPr>
          <m:t>→</m:t>
        </m:r>
        <m:r>
          <m:rPr>
            <m:sty m:val="p"/>
          </m:rPr>
          <m:t>□</m:t>
        </m:r>
        <m:r>
          <m:rPr>
            <m:sty m:val="p"/>
          </m:rPr>
          <m:t>◇</m:t>
        </m:r>
        <m:r>
          <m:t>p</m:t>
        </m:r>
      </m:oMath>
    </w:p>
    <w:p>
      <w:pPr>
        <w:pStyle w:val="FirstParagraph"/>
      </w:pPr>
      <w:r>
        <w:rPr>
          <w:b/>
          <w:bCs/>
        </w:rPr>
        <w:t xml:space="preserve">Inferenzregeln:</w:t>
      </w:r>
    </w:p>
    <w:p>
      <w:pPr>
        <w:numPr>
          <w:ilvl w:val="0"/>
          <w:numId w:val="1005"/>
        </w:numPr>
      </w:pPr>
      <w:r>
        <w:rPr>
          <w:b/>
          <w:bCs/>
        </w:rPr>
        <w:t xml:space="preserve">Modus Ponens:</w:t>
      </w:r>
      <w:r>
        <w:t xml:space="preserve"> </w:t>
      </w:r>
      <w:r>
        <w:t xml:space="preserve">Aus</w:t>
      </w:r>
      <w:r>
        <w:t xml:space="preserve"> </w:t>
      </w:r>
      <m:oMath>
        <m:r>
          <m:t>p</m:t>
        </m:r>
      </m:oMath>
      <w:r>
        <w:t xml:space="preserve"> </w:t>
      </w:r>
      <w:r>
        <w:t xml:space="preserve">und</w:t>
      </w:r>
      <w:r>
        <w:t xml:space="preserve"> </w:t>
      </w:r>
      <m:oMath>
        <m:r>
          <m:t>p</m:t>
        </m:r>
        <m:r>
          <m:rPr>
            <m:sty m:val="p"/>
          </m:rPr>
          <m:t>→</m:t>
        </m:r>
        <m:r>
          <m:t>q</m:t>
        </m:r>
      </m:oMath>
      <w:r>
        <w:t xml:space="preserve"> </w:t>
      </w:r>
      <w:r>
        <w:t xml:space="preserve">folgt</w:t>
      </w:r>
      <w:r>
        <w:t xml:space="preserve"> </w:t>
      </w:r>
      <m:oMath>
        <m:r>
          <m:t>q</m:t>
        </m:r>
      </m:oMath>
      <w:r>
        <w:t xml:space="preserve">.</w:t>
      </w:r>
    </w:p>
    <w:p>
      <w:pPr>
        <w:numPr>
          <w:ilvl w:val="0"/>
          <w:numId w:val="1005"/>
        </w:numPr>
      </w:pPr>
      <w:r>
        <w:rPr>
          <w:b/>
          <w:bCs/>
        </w:rPr>
        <w:t xml:space="preserve">Necessitation:</w:t>
      </w:r>
      <w:r>
        <w:t xml:space="preserve"> </w:t>
      </w:r>
      <w:r>
        <w:t xml:space="preserve">Aus</w:t>
      </w:r>
      <w:r>
        <w:t xml:space="preserve"> </w:t>
      </w:r>
      <m:oMath>
        <m:r>
          <m:t>p</m:t>
        </m:r>
      </m:oMath>
      <w:r>
        <w:t xml:space="preserve"> </w:t>
      </w:r>
      <w:r>
        <w:t xml:space="preserve">(ableitbar) folgt</w:t>
      </w:r>
      <w:r>
        <w:t xml:space="preserve"> </w:t>
      </w:r>
      <m:oMath>
        <m:r>
          <m:rPr>
            <m:sty m:val="p"/>
          </m:rPr>
          <m:t>□</m:t>
        </m:r>
        <m:r>
          <m:t>p</m:t>
        </m:r>
      </m:oMath>
      <w:r>
        <w:t xml:space="preserve">.</w:t>
      </w:r>
    </w:p>
    <w:p>
      <w:pPr>
        <w:pStyle w:val="FirstParagraph"/>
      </w:pPr>
      <w:r>
        <w:rPr>
          <w:b/>
          <w:bCs/>
        </w:rPr>
        <w:t xml:space="preserve">Tableau-Regeln für S5:</w:t>
      </w:r>
    </w:p>
    <w:p>
      <w:pPr>
        <w:pStyle w:val="BodyText"/>
      </w:pPr>
      <m:oMathPara>
        <m:oMathParaPr>
          <m:jc m:val="center"/>
        </m:oMathParaPr>
        <m:oMath>
          <m:m>
            <m:mPr>
              <m:baseJc m:val="center"/>
              <m:plcHide m:val="on"/>
              <m:mcs>
                <m:mc>
                  <m:mcPr>
                    <m:mcJc m:val="right"/>
                    <m:count m:val="1"/>
                  </m:mcPr>
                </m:mc>
                <m:mc>
                  <m:mcPr>
                    <m:mcJc m:val="left"/>
                    <m:count m:val="1"/>
                  </m:mcPr>
                </m:mc>
                <m:mc>
                  <m:mcPr>
                    <m:mcJc m:val="right"/>
                    <m:count m:val="1"/>
                  </m:mcPr>
                </m:mc>
              </m:mcs>
            </m:mPr>
            <m:mr>
              <m:e/>
              <m:e>
                <m:r>
                  <m:rPr>
                    <m:sty m:val="p"/>
                  </m:rPr>
                  <m:t>(</m:t>
                </m:r>
                <m:r>
                  <m:rPr>
                    <m:sty m:val="p"/>
                  </m:rPr>
                  <m:t>¬</m:t>
                </m:r>
                <m:r>
                  <m:rPr>
                    <m:sty m:val="p"/>
                  </m:rPr>
                  <m:t>□</m:t>
                </m:r>
                <m:r>
                  <m:rPr>
                    <m:sty m:val="p"/>
                  </m:rPr>
                  <m:t>)</m:t>
                </m:r>
              </m:e>
              <m:e>
                <m:f>
                  <m:fPr>
                    <m:type m:val="bar"/>
                  </m:fPr>
                  <m:num>
                    <m:r>
                      <m:rPr>
                        <m:sty m:val="p"/>
                      </m:rPr>
                      <m:t>¬</m:t>
                    </m:r>
                    <m:r>
                      <m:rPr>
                        <m:sty m:val="p"/>
                      </m:rPr>
                      <m:t>□</m:t>
                    </m:r>
                    <m:r>
                      <m:t>A</m:t>
                    </m:r>
                  </m:num>
                  <m:den>
                    <m:r>
                      <m:rPr>
                        <m:sty m:val="p"/>
                      </m:rPr>
                      <m:t>◇</m:t>
                    </m:r>
                    <m:r>
                      <m:rPr>
                        <m:sty m:val="p"/>
                      </m:rPr>
                      <m:t>¬</m:t>
                    </m:r>
                    <m:r>
                      <m:t>A</m:t>
                    </m:r>
                  </m:den>
                </m:f>
              </m:e>
            </m:mr>
            <m:mr>
              <m:e/>
              <m:e>
                <m:r>
                  <m:rPr>
                    <m:sty m:val="p"/>
                  </m:rPr>
                  <m:t>(</m:t>
                </m:r>
                <m:r>
                  <m:rPr>
                    <m:sty m:val="p"/>
                  </m:rPr>
                  <m:t>◇</m:t>
                </m:r>
                <m:r>
                  <m:rPr>
                    <m:sty m:val="p"/>
                  </m:rPr>
                  <m:t>)</m:t>
                </m:r>
              </m:e>
              <m:e>
                <m:f>
                  <m:fPr>
                    <m:type m:val="bar"/>
                  </m:fPr>
                  <m:num>
                    <m:r>
                      <m:rPr>
                        <m:sty m:val="p"/>
                      </m:rPr>
                      <m:t>◇</m:t>
                    </m:r>
                    <m:r>
                      <m:t>A</m:t>
                    </m:r>
                  </m:num>
                  <m:den>
                    <m:r>
                      <m:t>A</m:t>
                    </m:r>
                    <m:r>
                      <m:rPr>
                        <m:sty m:val="p"/>
                      </m:rPr>
                      <m:t>@</m:t>
                    </m:r>
                    <m:sSub>
                      <m:e>
                        <m:r>
                          <m:t>w</m:t>
                        </m:r>
                      </m:e>
                      <m:sub>
                        <m:r>
                          <m:rPr>
                            <m:nor/>
                            <m:sty m:val="p"/>
                          </m:rPr>
                          <m:t>neu</m:t>
                        </m:r>
                      </m:sub>
                    </m:sSub>
                  </m:den>
                </m:f>
                <m:r>
                  <m:t> </m:t>
                </m:r>
                <m:r>
                  <m:rPr>
                    <m:nor/>
                    <m:sty m:val="p"/>
                  </m:rPr>
                  <m:t>(neue Welt)</m:t>
                </m:r>
              </m:e>
            </m:mr>
            <m:mr>
              <m:e/>
              <m:e>
                <m:r>
                  <m:rPr>
                    <m:sty m:val="p"/>
                  </m:rPr>
                  <m:t>(</m:t>
                </m:r>
                <m:r>
                  <m:rPr>
                    <m:sty m:val="p"/>
                  </m:rPr>
                  <m:t>□</m:t>
                </m:r>
                <m:r>
                  <m:rPr>
                    <m:sty m:val="p"/>
                  </m:rPr>
                  <m:t>)</m:t>
                </m:r>
              </m:e>
              <m:e>
                <m:f>
                  <m:fPr>
                    <m:type m:val="bar"/>
                  </m:fPr>
                  <m:num>
                    <m:r>
                      <m:rPr>
                        <m:sty m:val="p"/>
                      </m:rPr>
                      <m:t>□</m:t>
                    </m:r>
                    <m:r>
                      <m:t>A</m:t>
                    </m:r>
                    <m:r>
                      <m:rPr>
                        <m:sty m:val="p"/>
                      </m:rPr>
                      <m:t>@</m:t>
                    </m:r>
                    <m:r>
                      <m:t>w</m:t>
                    </m:r>
                  </m:num>
                  <m:den>
                    <m:r>
                      <m:t>A</m:t>
                    </m:r>
                    <m:r>
                      <m:rPr>
                        <m:sty m:val="p"/>
                      </m:rPr>
                      <m:t>@</m:t>
                    </m:r>
                    <m:r>
                      <m:t>v</m:t>
                    </m:r>
                  </m:den>
                </m:f>
                <m:r>
                  <m:t> </m:t>
                </m:r>
                <m:r>
                  <m:rPr>
                    <m:nor/>
                    <m:sty m:val="p"/>
                  </m:rPr>
                  <m:t>für jede bereits existierende Welt </m:t>
                </m:r>
                <m:r>
                  <m:t>v</m:t>
                </m:r>
              </m:e>
            </m:mr>
            <m:mr>
              <m:e/>
              <m:e>
                <m:r>
                  <m:rPr>
                    <m:sty m:val="p"/>
                  </m:rPr>
                  <m:t>(</m:t>
                </m:r>
                <m:r>
                  <m:rPr>
                    <m:sty m:val="p"/>
                  </m:rPr>
                  <m:t>¬</m:t>
                </m:r>
                <m:r>
                  <m:rPr>
                    <m:sty m:val="p"/>
                  </m:rPr>
                  <m:t>∀</m:t>
                </m:r>
                <m:r>
                  <m:rPr>
                    <m:sty m:val="p"/>
                  </m:rPr>
                  <m:t>)</m:t>
                </m:r>
              </m:e>
              <m:e>
                <m:f>
                  <m:fPr>
                    <m:type m:val="bar"/>
                  </m:fPr>
                  <m:num>
                    <m:r>
                      <m:rPr>
                        <m:sty m:val="p"/>
                      </m:rPr>
                      <m:t>¬</m:t>
                    </m:r>
                    <m:r>
                      <m:rPr>
                        <m:sty m:val="p"/>
                      </m:rPr>
                      <m:t>∀</m:t>
                    </m:r>
                    <m:r>
                      <m:t>x</m:t>
                    </m:r>
                    <m:r>
                      <m:t>A</m:t>
                    </m:r>
                  </m:num>
                  <m:den>
                    <m:r>
                      <m:rPr>
                        <m:sty m:val="p"/>
                      </m:rPr>
                      <m:t>∃</m:t>
                    </m:r>
                    <m:r>
                      <m:t>x</m:t>
                    </m:r>
                    <m:r>
                      <m:rPr>
                        <m:sty m:val="p"/>
                      </m:rPr>
                      <m:t>¬</m:t>
                    </m:r>
                    <m:r>
                      <m:t>A</m:t>
                    </m:r>
                  </m:den>
                </m:f>
              </m:e>
            </m:mr>
            <m:mr>
              <m:e/>
              <m:e>
                <m:r>
                  <m:rPr>
                    <m:sty m:val="p"/>
                  </m:rPr>
                  <m:t>(</m:t>
                </m:r>
                <m:r>
                  <m:rPr>
                    <m:sty m:val="p"/>
                  </m:rPr>
                  <m:t>∃</m:t>
                </m:r>
                <m:r>
                  <m:rPr>
                    <m:sty m:val="p"/>
                  </m:rPr>
                  <m:t>)</m:t>
                </m:r>
              </m:e>
              <m:e>
                <m:f>
                  <m:fPr>
                    <m:type m:val="bar"/>
                  </m:fPr>
                  <m:num>
                    <m:r>
                      <m:rPr>
                        <m:sty m:val="p"/>
                      </m:rPr>
                      <m:t>∃</m:t>
                    </m:r>
                    <m:r>
                      <m:t>x</m:t>
                    </m:r>
                    <m:r>
                      <m:t>A</m:t>
                    </m:r>
                  </m:num>
                  <m:den>
                    <m:r>
                      <m:t>A</m:t>
                    </m:r>
                    <m:r>
                      <m:rPr>
                        <m:sty m:val="p"/>
                      </m:rPr>
                      <m:t>[</m:t>
                    </m:r>
                    <m:r>
                      <m:t>a</m:t>
                    </m:r>
                    <m:r>
                      <m:rPr>
                        <m:sty m:val="p"/>
                      </m:rPr>
                      <m:t>/</m:t>
                    </m:r>
                    <m:r>
                      <m:t>x</m:t>
                    </m:r>
                    <m:r>
                      <m:rPr>
                        <m:sty m:val="p"/>
                      </m:rPr>
                      <m:t>]</m:t>
                    </m:r>
                  </m:den>
                </m:f>
                <m:r>
                  <m:t> </m:t>
                </m:r>
                <m:r>
                  <m:rPr>
                    <m:nor/>
                    <m:sty m:val="p"/>
                  </m:rPr>
                  <m:t>(a neu)</m:t>
                </m:r>
              </m:e>
            </m:mr>
            <m:mr>
              <m:e/>
              <m:e>
                <m:r>
                  <m:rPr>
                    <m:sty m:val="p"/>
                  </m:rPr>
                  <m:t>(</m:t>
                </m:r>
                <m:r>
                  <m:rPr>
                    <m:sty m:val="p"/>
                  </m:rPr>
                  <m:t>∀</m:t>
                </m:r>
                <m:r>
                  <m:rPr>
                    <m:sty m:val="p"/>
                  </m:rPr>
                  <m:t>)</m:t>
                </m:r>
              </m:e>
              <m:e>
                <m:f>
                  <m:fPr>
                    <m:type m:val="bar"/>
                  </m:fPr>
                  <m:num>
                    <m:r>
                      <m:rPr>
                        <m:sty m:val="p"/>
                      </m:rPr>
                      <m:t>∀</m:t>
                    </m:r>
                    <m:r>
                      <m:t>x</m:t>
                    </m:r>
                    <m:r>
                      <m:t>A</m:t>
                    </m:r>
                  </m:num>
                  <m:den>
                    <m:r>
                      <m:t>A</m:t>
                    </m:r>
                    <m:r>
                      <m:rPr>
                        <m:sty m:val="p"/>
                      </m:rPr>
                      <m:t>[</m:t>
                    </m:r>
                    <m:r>
                      <m:t>a</m:t>
                    </m:r>
                    <m:r>
                      <m:rPr>
                        <m:sty m:val="p"/>
                      </m:rPr>
                      <m:t>/</m:t>
                    </m:r>
                    <m:r>
                      <m:t>x</m:t>
                    </m:r>
                    <m:r>
                      <m:rPr>
                        <m:sty m:val="p"/>
                      </m:rPr>
                      <m:t>]</m:t>
                    </m:r>
                  </m:den>
                </m:f>
                <m:r>
                  <m:t> </m:t>
                </m:r>
                <m:r>
                  <m:rPr>
                    <m:nor/>
                    <m:sty m:val="p"/>
                  </m:rPr>
                  <m:t>(a beliebig)</m:t>
                </m:r>
              </m:e>
            </m:mr>
          </m:m>
        </m:oMath>
      </m:oMathPara>
    </w:p>
    <w:bookmarkEnd w:id="14"/>
    <w:bookmarkStart w:id="15" w:name="prädikatenlogik"/>
    <w:p>
      <w:pPr>
        <w:pStyle w:val="Heading2"/>
      </w:pPr>
      <w:r>
        <w:t xml:space="preserve">Prädikatenlogik</w:t>
      </w:r>
    </w:p>
    <w:p>
      <w:pPr>
        <w:pStyle w:val="FirstParagraph"/>
      </w:pPr>
      <w:r>
        <w:t xml:space="preserve">Wir verwenden die klassische Prädikatenlogik erster Stufe mit Identität (</w:t>
      </w:r>
      <m:oMath>
        <m:r>
          <m:rPr>
            <m:sty m:val="p"/>
          </m:rPr>
          <m:t>=</m:t>
        </m:r>
      </m:oMath>
      <w:r>
        <w:t xml:space="preserve">) und den üblichen Quantoren (</w:t>
      </w:r>
      <m:oMath>
        <m:r>
          <m:rPr>
            <m:sty m:val="p"/>
          </m:rPr>
          <m:t>∀</m:t>
        </m:r>
        <m:r>
          <m:rPr>
            <m:sty m:val="p"/>
          </m:rPr>
          <m:t>,</m:t>
        </m:r>
        <m:r>
          <m:rPr>
            <m:sty m:val="p"/>
          </m:rPr>
          <m:t>∃</m:t>
        </m:r>
      </m:oMath>
      <w:r>
        <w:t xml:space="preserve">).</w:t>
      </w:r>
    </w:p>
    <w:bookmarkEnd w:id="15"/>
    <w:bookmarkEnd w:id="16"/>
    <w:bookmarkStart w:id="22" w:name="die-axiome-basis"/>
    <w:p>
      <w:pPr>
        <w:pStyle w:val="Heading1"/>
      </w:pPr>
      <w:r>
        <w:t xml:space="preserve">Die Axiome (Basis)</w:t>
      </w:r>
    </w:p>
    <w:bookmarkStart w:id="17" w:name="a1-monismus"/>
    <w:p>
      <w:pPr>
        <w:pStyle w:val="Heading2"/>
      </w:pPr>
      <w:r>
        <w:t xml:space="preserve">A1 – Monismus</w:t>
      </w:r>
    </w:p>
    <w:p>
      <w:pPr>
        <w:pStyle w:val="FirstParagraph"/>
      </w:pPr>
      <w:r>
        <w:t xml:space="preserve">Es gibt keine fundamental getrennten Wirklichkeitsbereiche.</w:t>
      </w:r>
    </w:p>
    <w:p>
      <w:pPr>
        <w:pStyle w:val="BodyText"/>
      </w:pPr>
      <m:oMathPara>
        <m:oMathParaPr>
          <m:jc m:val="center"/>
        </m:oMathParaPr>
        <m:oMath>
          <m:borderBox>
            <m:e>
              <m:r>
                <m:t>A</m:t>
              </m:r>
              <m:r>
                <m:t>1</m:t>
              </m:r>
              <m:box>
                <m:boxPr>
                  <m:opEmu m:val="on"/>
                </m:boxPr>
                <m:e>
                  <m:r>
                    <m:rPr>
                      <m:sty m:val="p"/>
                    </m:rPr>
                    <m:t>:=</m:t>
                  </m:r>
                </m:e>
              </m:box>
              <m:r>
                <m:rPr>
                  <m:sty m:val="p"/>
                </m:rPr>
                <m:t>□</m:t>
              </m:r>
              <m:r>
                <m:rPr>
                  <m:sty m:val="p"/>
                </m:rPr>
                <m:t>¬</m:t>
              </m:r>
              <m:r>
                <m:rPr>
                  <m:sty m:val="p"/>
                </m:rPr>
                <m:t>∃</m:t>
              </m:r>
              <m:r>
                <m:t>x</m:t>
              </m:r>
              <m:r>
                <m:rPr>
                  <m:sty m:val="p"/>
                </m:rPr>
                <m:t>∃</m:t>
              </m:r>
              <m:r>
                <m:t>y</m:t>
              </m:r>
              <m:r>
                <m:t> </m:t>
              </m:r>
              <m:r>
                <m:t>F</m:t>
              </m:r>
              <m:r>
                <m:t>u</m:t>
              </m:r>
              <m:r>
                <m:t>n</m:t>
              </m:r>
              <m:r>
                <m:t>d</m:t>
              </m:r>
              <m:r>
                <m:t>a</m:t>
              </m:r>
              <m:r>
                <m:t>m</m:t>
              </m:r>
              <m:r>
                <m:t>e</m:t>
              </m:r>
              <m:r>
                <m:t>n</m:t>
              </m:r>
              <m:r>
                <m:t>t</m:t>
              </m:r>
              <m:r>
                <m:t>a</m:t>
              </m:r>
              <m:r>
                <m:t>l</m:t>
              </m:r>
              <m:r>
                <m:t>G</m:t>
              </m:r>
              <m:r>
                <m:t>e</m:t>
              </m:r>
              <m:r>
                <m:t>t</m:t>
              </m:r>
              <m:r>
                <m:t>r</m:t>
              </m:r>
              <m:r>
                <m:t>e</m:t>
              </m:r>
              <m:r>
                <m:t>n</m:t>
              </m:r>
              <m:r>
                <m:t>n</m:t>
              </m:r>
              <m:r>
                <m:t>t</m:t>
              </m:r>
              <m:r>
                <m:rPr>
                  <m:sty m:val="p"/>
                </m:rPr>
                <m:t>(</m:t>
              </m:r>
              <m:r>
                <m:t>x</m:t>
              </m:r>
              <m:r>
                <m:rPr>
                  <m:sty m:val="p"/>
                </m:rPr>
                <m:t>,</m:t>
              </m:r>
              <m:r>
                <m:t>y</m:t>
              </m:r>
              <m:r>
                <m:rPr>
                  <m:sty m:val="p"/>
                </m:rPr>
                <m:t>)</m:t>
              </m:r>
            </m:e>
          </m:borderBox>
        </m:oMath>
      </m:oMathPara>
    </w:p>
    <w:bookmarkEnd w:id="17"/>
    <w:bookmarkStart w:id="18" w:name="a4-existenz-einer-möglichen-wirklichkeit"/>
    <w:p>
      <w:pPr>
        <w:pStyle w:val="Heading2"/>
      </w:pPr>
      <w:r>
        <w:t xml:space="preserve">A4 – Existenz einer möglichen Wirklichkeit</w:t>
      </w:r>
    </w:p>
    <w:p>
      <w:pPr>
        <w:pStyle w:val="FirstParagraph"/>
      </w:pPr>
      <w:r>
        <w:t xml:space="preserve">Es gibt mindestens eine mögliche Welt.</w:t>
      </w:r>
    </w:p>
    <w:p>
      <w:pPr>
        <w:pStyle w:val="BodyText"/>
      </w:pPr>
      <m:oMathPara>
        <m:oMathParaPr>
          <m:jc m:val="center"/>
        </m:oMathParaPr>
        <m:oMath>
          <m:borderBox>
            <m:e>
              <m:r>
                <m:t>A</m:t>
              </m:r>
              <m:r>
                <m:t>4</m:t>
              </m:r>
              <m:box>
                <m:boxPr>
                  <m:opEmu m:val="on"/>
                </m:boxPr>
                <m:e>
                  <m:r>
                    <m:rPr>
                      <m:sty m:val="p"/>
                    </m:rPr>
                    <m:t>:=</m:t>
                  </m:r>
                </m:e>
              </m:box>
              <m:r>
                <m:rPr>
                  <m:sty m:val="p"/>
                </m:rPr>
                <m:t>◇</m:t>
              </m:r>
              <m:r>
                <m:rPr>
                  <m:sty m:val="p"/>
                </m:rPr>
                <m:t>∃</m:t>
              </m:r>
              <m:r>
                <m:t>w</m:t>
              </m:r>
              <m:r>
                <m:t> </m:t>
              </m:r>
              <m:r>
                <m:t>W</m:t>
              </m:r>
              <m:r>
                <m:t>e</m:t>
              </m:r>
              <m:r>
                <m:t>l</m:t>
              </m:r>
              <m:r>
                <m:t>t</m:t>
              </m:r>
              <m:r>
                <m:rPr>
                  <m:sty m:val="p"/>
                </m:rPr>
                <m:t>(</m:t>
              </m:r>
              <m:r>
                <m:t>w</m:t>
              </m:r>
              <m:r>
                <m:rPr>
                  <m:sty m:val="p"/>
                </m:rPr>
                <m:t>)</m:t>
              </m:r>
            </m:e>
          </m:borderBox>
        </m:oMath>
      </m:oMathPara>
    </w:p>
    <w:bookmarkEnd w:id="18"/>
    <w:bookmarkStart w:id="19" w:name="a11-transzendentale-brücke"/>
    <w:p>
      <w:pPr>
        <w:pStyle w:val="Heading2"/>
      </w:pPr>
      <w:r>
        <w:t xml:space="preserve">A11 – Transzendentale Brücke</w:t>
      </w:r>
    </w:p>
    <w:p>
      <w:pPr>
        <w:pStyle w:val="FirstParagraph"/>
      </w:pPr>
      <w:r>
        <w:t xml:space="preserve">Eine Welt ist genau dann von Bewusstsein getrennt, wenn sie kein Bewusstsein enthält.</w:t>
      </w:r>
    </w:p>
    <w:p>
      <w:pPr>
        <w:pStyle w:val="BodyText"/>
      </w:pPr>
      <m:oMathPara>
        <m:oMathParaPr>
          <m:jc m:val="center"/>
        </m:oMathParaPr>
        <m:oMath>
          <m:borderBox>
            <m:e>
              <m:r>
                <m:t>A</m:t>
              </m:r>
              <m:r>
                <m:t>11</m:t>
              </m:r>
              <m:box>
                <m:boxPr>
                  <m:opEmu m:val="on"/>
                </m:boxPr>
                <m:e>
                  <m:r>
                    <m:rPr>
                      <m:sty m:val="p"/>
                    </m:rPr>
                    <m:t>:=</m:t>
                  </m:r>
                </m:e>
              </m:box>
              <m:r>
                <m:rPr>
                  <m:sty m:val="p"/>
                </m:rPr>
                <m:t>∀</m:t>
              </m:r>
              <m:r>
                <m:t>w</m:t>
              </m:r>
              <m:d>
                <m:dPr>
                  <m:begChr m:val="("/>
                  <m:sepChr m:val=""/>
                  <m:endChr m:val=")"/>
                  <m:grow/>
                </m:dPr>
                <m:e>
                  <m:r>
                    <m:rPr>
                      <m:nor/>
                      <m:sty m:val="p"/>
                    </m:rPr>
                    <m:t>WeltGetrenntVonBewusstsein</m:t>
                  </m:r>
                  <m:r>
                    <m:rPr>
                      <m:sty m:val="p"/>
                    </m:rPr>
                    <m:t>(</m:t>
                  </m:r>
                  <m:r>
                    <m:t>w</m:t>
                  </m:r>
                  <m:r>
                    <m:rPr>
                      <m:sty m:val="p"/>
                    </m:rPr>
                    <m:t>)</m:t>
                  </m:r>
                  <m:r>
                    <m:rPr>
                      <m:sty m:val="p"/>
                    </m:rPr>
                    <m:t>↔</m:t>
                  </m:r>
                  <m:r>
                    <m:rPr>
                      <m:sty m:val="p"/>
                    </m:rPr>
                    <m:t>¬</m:t>
                  </m:r>
                  <m:r>
                    <m:rPr>
                      <m:sty m:val="p"/>
                    </m:rPr>
                    <m:t>∃</m:t>
                  </m:r>
                  <m:r>
                    <m:t>c</m:t>
                  </m:r>
                  <m:r>
                    <m:rPr>
                      <m:sty m:val="p"/>
                    </m:rPr>
                    <m:t>(</m:t>
                  </m:r>
                  <m:r>
                    <m:t>B</m:t>
                  </m:r>
                  <m:r>
                    <m:t>e</m:t>
                  </m:r>
                  <m:r>
                    <m:t>w</m:t>
                  </m:r>
                  <m:r>
                    <m:t>u</m:t>
                  </m:r>
                  <m:r>
                    <m:t>s</m:t>
                  </m:r>
                  <m:r>
                    <m:t>s</m:t>
                  </m:r>
                  <m:r>
                    <m:t>t</m:t>
                  </m:r>
                  <m:r>
                    <m:t>s</m:t>
                  </m:r>
                  <m:r>
                    <m:t>e</m:t>
                  </m:r>
                  <m:r>
                    <m:t>i</m:t>
                  </m:r>
                  <m:r>
                    <m:t>n</m:t>
                  </m:r>
                  <m:r>
                    <m:rPr>
                      <m:sty m:val="p"/>
                    </m:rPr>
                    <m:t>(</m:t>
                  </m:r>
                  <m:r>
                    <m:t>c</m:t>
                  </m:r>
                  <m:r>
                    <m:rPr>
                      <m:sty m:val="p"/>
                    </m:rPr>
                    <m:t>)</m:t>
                  </m:r>
                  <m:r>
                    <m:rPr>
                      <m:sty m:val="p"/>
                    </m:rPr>
                    <m:t>∧</m:t>
                  </m:r>
                  <m:r>
                    <m:t>c</m:t>
                  </m:r>
                  <m:r>
                    <m:rPr>
                      <m:sty m:val="p"/>
                    </m:rPr>
                    <m:t>(</m:t>
                  </m:r>
                  <m:r>
                    <m:t>w</m:t>
                  </m:r>
                  <m:r>
                    <m:rPr>
                      <m:sty m:val="p"/>
                    </m:rPr>
                    <m:t>)</m:t>
                  </m:r>
                  <m:r>
                    <m:rPr>
                      <m:sty m:val="p"/>
                    </m:rPr>
                    <m:t>)</m:t>
                  </m:r>
                </m:e>
              </m:d>
            </m:e>
          </m:borderBox>
        </m:oMath>
      </m:oMathPara>
    </w:p>
    <w:bookmarkEnd w:id="19"/>
    <w:bookmarkStart w:id="20" w:name="a12-erfahrbarkeit-und-realisierung"/>
    <w:p>
      <w:pPr>
        <w:pStyle w:val="Heading2"/>
      </w:pPr>
      <w:r>
        <w:t xml:space="preserve">A12 – Erfahrbarkeit und Realisierung</w:t>
      </w:r>
    </w:p>
    <w:p>
      <w:pPr>
        <w:pStyle w:val="FirstParagraph"/>
      </w:pPr>
      <m:oMathPara>
        <m:oMathParaPr>
          <m:jc m:val="center"/>
        </m:oMathParaPr>
        <m:oMath>
          <m:borderBox>
            <m:e>
              <m:r>
                <m:t>A</m:t>
              </m:r>
              <m:r>
                <m:t>12</m:t>
              </m:r>
              <m:box>
                <m:boxPr>
                  <m:opEmu m:val="on"/>
                </m:boxPr>
                <m:e>
                  <m:r>
                    <m:rPr>
                      <m:sty m:val="p"/>
                    </m:rPr>
                    <m:t>:=</m:t>
                  </m:r>
                </m:e>
              </m:box>
              <m:r>
                <m:rPr>
                  <m:sty m:val="p"/>
                </m:rPr>
                <m:t>∀</m:t>
              </m:r>
              <m:r>
                <m:t>p</m:t>
              </m:r>
              <m:r>
                <m:rPr>
                  <m:sty m:val="p"/>
                </m:rPr>
                <m:t>.</m:t>
              </m:r>
              <m:r>
                <m:rPr>
                  <m:nor/>
                  <m:sty m:val="p"/>
                </m:rPr>
                <m:t>Erfahrbar</m:t>
              </m:r>
              <m:r>
                <m:rPr>
                  <m:sty m:val="p"/>
                </m:rPr>
                <m:t>(</m:t>
              </m:r>
              <m:r>
                <m:t>p</m:t>
              </m:r>
              <m:r>
                <m:rPr>
                  <m:sty m:val="p"/>
                </m:rPr>
                <m:t>)</m:t>
              </m:r>
              <m:r>
                <m:rPr>
                  <m:sty m:val="p"/>
                </m:rPr>
                <m:t>↔</m:t>
              </m:r>
              <m:r>
                <m:rPr>
                  <m:sty m:val="p"/>
                </m:rPr>
                <m:t>∃</m:t>
              </m:r>
              <m:r>
                <m:t>w</m:t>
              </m:r>
              <m:r>
                <m:rPr>
                  <m:sty m:val="p"/>
                </m:rPr>
                <m:t>.</m:t>
              </m:r>
              <m:r>
                <m:t>R</m:t>
              </m:r>
              <m:r>
                <m:t>e</m:t>
              </m:r>
              <m:r>
                <m:t>a</m:t>
              </m:r>
              <m:r>
                <m:t>l</m:t>
              </m:r>
              <m:r>
                <m:t>i</m:t>
              </m:r>
              <m:r>
                <m:t>s</m:t>
              </m:r>
              <m:r>
                <m:t>i</m:t>
              </m:r>
              <m:r>
                <m:t>e</m:t>
              </m:r>
              <m:r>
                <m:t>r</m:t>
              </m:r>
              <m:r>
                <m:t>t</m:t>
              </m:r>
              <m:r>
                <m:rPr>
                  <m:sty m:val="p"/>
                </m:rPr>
                <m:t>(</m:t>
              </m:r>
              <m:r>
                <m:t>w</m:t>
              </m:r>
              <m:r>
                <m:rPr>
                  <m:sty m:val="p"/>
                </m:rPr>
                <m:t>,</m:t>
              </m:r>
              <m:r>
                <m:t>p</m:t>
              </m:r>
              <m:r>
                <m:rPr>
                  <m:sty m:val="p"/>
                </m:rPr>
                <m:t>)</m:t>
              </m:r>
            </m:e>
          </m:borderBox>
        </m:oMath>
      </m:oMathPara>
    </w:p>
    <w:bookmarkEnd w:id="20"/>
    <w:bookmarkStart w:id="21" w:name="Xb50ad2a0e816c66632a5764519e183a869298e6"/>
    <w:p>
      <w:pPr>
        <w:pStyle w:val="Heading2"/>
      </w:pPr>
      <w:r>
        <w:t xml:space="preserve">A13, A14, A15 – Die drei Implikationen der Fälle</w:t>
      </w:r>
    </w:p>
    <w:p>
      <w:pPr>
        <w:pStyle w:val="FirstParagraph"/>
      </w:pPr>
      <m:oMathPara>
        <m:oMathParaPr>
          <m:jc m:val="center"/>
        </m:oMathParaPr>
        <m:oMath>
          <m:borderBox>
            <m:e>
              <m:r>
                <m:t>A</m:t>
              </m:r>
              <m:r>
                <m:t>13</m:t>
              </m:r>
              <m:box>
                <m:boxPr>
                  <m:opEmu m:val="on"/>
                </m:boxPr>
                <m:e>
                  <m:r>
                    <m:rPr>
                      <m:sty m:val="p"/>
                    </m:rPr>
                    <m:t>:=</m:t>
                  </m:r>
                </m:e>
              </m:box>
              <m:r>
                <m:rPr>
                  <m:sty m:val="p"/>
                </m:rPr>
                <m:t>□</m:t>
              </m:r>
              <m:r>
                <m:rPr>
                  <m:sty m:val="p"/>
                </m:rPr>
                <m:t>∀</m:t>
              </m:r>
              <m:r>
                <m:t>x</m:t>
              </m:r>
              <m:r>
                <m:rPr>
                  <m:sty m:val="p"/>
                </m:rPr>
                <m:t>(</m:t>
              </m:r>
              <m:r>
                <m:t>T</m:t>
              </m:r>
              <m:r>
                <m:rPr>
                  <m:sty m:val="p"/>
                </m:rPr>
                <m:t>(</m:t>
              </m:r>
              <m:r>
                <m:t>x</m:t>
              </m:r>
              <m:r>
                <m:rPr>
                  <m:sty m:val="p"/>
                </m:rPr>
                <m:t>)</m:t>
              </m:r>
              <m:r>
                <m:rPr>
                  <m:sty m:val="p"/>
                </m:rPr>
                <m:t>→</m:t>
              </m:r>
              <m:r>
                <m:t>U</m:t>
              </m:r>
              <m:r>
                <m:rPr>
                  <m:sty m:val="p"/>
                </m:rPr>
                <m:t>(</m:t>
              </m:r>
              <m:r>
                <m:t>x</m:t>
              </m:r>
              <m:r>
                <m:rPr>
                  <m:sty m:val="p"/>
                </m:rPr>
                <m:t>)</m:t>
              </m:r>
              <m:r>
                <m:rPr>
                  <m:sty m:val="p"/>
                </m:rPr>
                <m:t>)</m:t>
              </m:r>
            </m:e>
          </m:borderBox>
        </m:oMath>
      </m:oMathPara>
    </w:p>
    <w:p>
      <w:pPr>
        <w:pStyle w:val="FirstParagraph"/>
      </w:pPr>
      <m:oMathPara>
        <m:oMathParaPr>
          <m:jc m:val="center"/>
        </m:oMathParaPr>
        <m:oMath>
          <m:borderBox>
            <m:e>
              <m:r>
                <m:t>A</m:t>
              </m:r>
              <m:r>
                <m:t>14</m:t>
              </m:r>
              <m:box>
                <m:boxPr>
                  <m:opEmu m:val="on"/>
                </m:boxPr>
                <m:e>
                  <m:r>
                    <m:rPr>
                      <m:sty m:val="p"/>
                    </m:rPr>
                    <m:t>:=</m:t>
                  </m:r>
                </m:e>
              </m:box>
              <m:r>
                <m:rPr>
                  <m:sty m:val="p"/>
                </m:rPr>
                <m:t>□</m:t>
              </m:r>
              <m:r>
                <m:rPr>
                  <m:sty m:val="p"/>
                </m:rPr>
                <m:t>∀</m:t>
              </m:r>
              <m:r>
                <m:t>x</m:t>
              </m:r>
              <m:r>
                <m:rPr>
                  <m:sty m:val="p"/>
                </m:rPr>
                <m:t>(</m:t>
              </m:r>
              <m:r>
                <m:t>U</m:t>
              </m:r>
              <m:r>
                <m:rPr>
                  <m:sty m:val="p"/>
                </m:rPr>
                <m:t>(</m:t>
              </m:r>
              <m:r>
                <m:t>x</m:t>
              </m:r>
              <m:r>
                <m:rPr>
                  <m:sty m:val="p"/>
                </m:rPr>
                <m:t>)</m:t>
              </m:r>
              <m:r>
                <m:rPr>
                  <m:sty m:val="p"/>
                </m:rPr>
                <m:t>→</m:t>
              </m:r>
              <m:r>
                <m:t>S</m:t>
              </m:r>
              <m:r>
                <m:rPr>
                  <m:sty m:val="p"/>
                </m:rPr>
                <m:t>(</m:t>
              </m:r>
              <m:r>
                <m:t>x</m:t>
              </m:r>
              <m:r>
                <m:rPr>
                  <m:sty m:val="p"/>
                </m:rPr>
                <m:t>)</m:t>
              </m:r>
              <m:r>
                <m:rPr>
                  <m:sty m:val="p"/>
                </m:rPr>
                <m:t>)</m:t>
              </m:r>
            </m:e>
          </m:borderBox>
        </m:oMath>
      </m:oMathPara>
    </w:p>
    <w:p>
      <w:pPr>
        <w:pStyle w:val="FirstParagraph"/>
      </w:pPr>
      <m:oMathPara>
        <m:oMathParaPr>
          <m:jc m:val="center"/>
        </m:oMathParaPr>
        <m:oMath>
          <m:borderBox>
            <m:e>
              <m:r>
                <m:t>A</m:t>
              </m:r>
              <m:r>
                <m:t>15</m:t>
              </m:r>
              <m:box>
                <m:boxPr>
                  <m:opEmu m:val="on"/>
                </m:boxPr>
                <m:e>
                  <m:r>
                    <m:rPr>
                      <m:sty m:val="p"/>
                    </m:rPr>
                    <m:t>:=</m:t>
                  </m:r>
                </m:e>
              </m:box>
              <m:r>
                <m:rPr>
                  <m:sty m:val="p"/>
                </m:rPr>
                <m:t>□</m:t>
              </m:r>
              <m:r>
                <m:rPr>
                  <m:sty m:val="p"/>
                </m:rPr>
                <m:t>∀</m:t>
              </m:r>
              <m:r>
                <m:t>x</m:t>
              </m:r>
              <m:r>
                <m:rPr>
                  <m:sty m:val="p"/>
                </m:rPr>
                <m:t>(</m:t>
              </m:r>
              <m:r>
                <m:t>S</m:t>
              </m:r>
              <m:r>
                <m:rPr>
                  <m:sty m:val="p"/>
                </m:rPr>
                <m:t>(</m:t>
              </m:r>
              <m:r>
                <m:t>x</m:t>
              </m:r>
              <m:r>
                <m:rPr>
                  <m:sty m:val="p"/>
                </m:rPr>
                <m:t>)</m:t>
              </m:r>
              <m:r>
                <m:rPr>
                  <m:sty m:val="p"/>
                </m:rPr>
                <m:t>→</m:t>
              </m:r>
              <m:r>
                <m:t>T</m:t>
              </m:r>
              <m:r>
                <m:rPr>
                  <m:sty m:val="p"/>
                </m:rPr>
                <m:t>(</m:t>
              </m:r>
              <m:r>
                <m:t>x</m:t>
              </m:r>
              <m:r>
                <m:rPr>
                  <m:sty m:val="p"/>
                </m:rPr>
                <m:t>)</m:t>
              </m:r>
              <m:r>
                <m:rPr>
                  <m:sty m:val="p"/>
                </m:rPr>
                <m:t>)</m:t>
              </m:r>
            </m:e>
          </m:borderBox>
        </m:oMath>
      </m:oMathPara>
    </w:p>
    <w:bookmarkEnd w:id="21"/>
    <w:bookmarkEnd w:id="22"/>
    <w:bookmarkStart w:id="27" w:name="definition-der-grenzwertstruktur"/>
    <w:p>
      <w:pPr>
        <w:pStyle w:val="Heading1"/>
      </w:pPr>
      <w:r>
        <w:t xml:space="preserve">Definition der Grenzwertstruktur</w:t>
      </w:r>
    </w:p>
    <w:bookmarkStart w:id="23" w:name="Xe7936eccf040e25da662b057822c8f993ce3642"/>
    <w:p>
      <w:pPr>
        <w:pStyle w:val="Heading2"/>
      </w:pPr>
      <w:r>
        <w:t xml:space="preserve">Die Totalität T als offenes, wohlfundiertes Intervall</w:t>
      </w:r>
    </w:p>
    <w:p>
      <w:pPr>
        <w:pStyle w:val="FirstParagraph"/>
      </w:pPr>
      <m:oMathPara>
        <m:oMathParaPr>
          <m:jc m:val="center"/>
        </m:oMathParaPr>
        <m:oMath>
          <m:borderBox>
            <m:e>
              <m:r>
                <m:t>T</m:t>
              </m:r>
              <m:box>
                <m:boxPr>
                  <m:opEmu m:val="on"/>
                </m:boxPr>
                <m:e>
                  <m:r>
                    <m:rPr>
                      <m:sty m:val="p"/>
                    </m:rPr>
                    <m:t>:=</m:t>
                  </m:r>
                </m:e>
              </m:box>
              <m:r>
                <m:rPr>
                  <m:sty m:val="p"/>
                </m:rPr>
                <m:t>{</m:t>
              </m:r>
              <m:r>
                <m:t>x</m:t>
              </m:r>
              <m:r>
                <m:rPr>
                  <m:sty m:val="p"/>
                </m:rPr>
                <m:t>∣</m:t>
              </m:r>
              <m:r>
                <m:t>U</m:t>
              </m:r>
              <m:r>
                <m:rPr>
                  <m:sty m:val="p"/>
                </m:rPr>
                <m:t>&lt;</m:t>
              </m:r>
              <m:r>
                <m:t>x</m:t>
              </m:r>
              <m:r>
                <m:rPr>
                  <m:sty m:val="p"/>
                </m:rPr>
                <m:t>&lt;</m:t>
              </m:r>
              <m:r>
                <m:t>S</m:t>
              </m:r>
              <m:r>
                <m:rPr>
                  <m:sty m:val="p"/>
                </m:rPr>
                <m:t>}</m:t>
              </m:r>
            </m:e>
          </m:borderBox>
        </m:oMath>
      </m:oMathPara>
    </w:p>
    <w:bookmarkEnd w:id="23"/>
    <w:bookmarkStart w:id="24" w:name="der-ursprung-u-als-unterer-grenzwert"/>
    <w:p>
      <w:pPr>
        <w:pStyle w:val="Heading2"/>
      </w:pPr>
      <w:r>
        <w:t xml:space="preserve">Der Ursprung U als unterer Grenzwert</w:t>
      </w:r>
    </w:p>
    <w:p>
      <w:pPr>
        <w:pStyle w:val="FirstParagraph"/>
      </w:pPr>
      <m:oMathPara>
        <m:oMathParaPr>
          <m:jc m:val="center"/>
        </m:oMathParaPr>
        <m:oMath>
          <m:borderBox>
            <m:e>
              <m:r>
                <m:t>U</m:t>
              </m:r>
              <m:box>
                <m:boxPr>
                  <m:opEmu m:val="on"/>
                </m:boxPr>
                <m:e>
                  <m:r>
                    <m:rPr>
                      <m:sty m:val="p"/>
                    </m:rPr>
                    <m:t>:=</m:t>
                  </m:r>
                </m:e>
              </m:box>
              <m:limLow>
                <m:e>
                  <m:r>
                    <m:rPr>
                      <m:sty m:val="p"/>
                    </m:rPr>
                    <m:t>lim</m:t>
                  </m:r>
                </m:e>
                <m:lim>
                  <m:r>
                    <m:t>x</m:t>
                  </m:r>
                  <m:r>
                    <m:rPr>
                      <m:sty m:val="p"/>
                    </m:rPr>
                    <m:t>→</m:t>
                  </m:r>
                  <m:r>
                    <m:rPr>
                      <m:sty m:val="p"/>
                    </m:rPr>
                    <m:t>inf</m:t>
                  </m:r>
                </m:lim>
              </m:limLow>
              <m:r>
                <m:t>T</m:t>
              </m:r>
            </m:e>
          </m:borderBox>
        </m:oMath>
      </m:oMathPara>
    </w:p>
    <w:bookmarkEnd w:id="24"/>
    <w:bookmarkStart w:id="25" w:name="X0285e9a88b9e12bd16cc00f5830808f8e7eef32"/>
    <w:p>
      <w:pPr>
        <w:pStyle w:val="Heading2"/>
      </w:pPr>
      <w:r>
        <w:t xml:space="preserve">Die Selbsterkenntnis S als oberer Grenzwert</w:t>
      </w:r>
    </w:p>
    <w:p>
      <w:pPr>
        <w:pStyle w:val="FirstParagraph"/>
      </w:pPr>
      <m:oMathPara>
        <m:oMathParaPr>
          <m:jc m:val="center"/>
        </m:oMathParaPr>
        <m:oMath>
          <m:borderBox>
            <m:e>
              <m:r>
                <m:t>S</m:t>
              </m:r>
              <m:box>
                <m:boxPr>
                  <m:opEmu m:val="on"/>
                </m:boxPr>
                <m:e>
                  <m:r>
                    <m:rPr>
                      <m:sty m:val="p"/>
                    </m:rPr>
                    <m:t>:=</m:t>
                  </m:r>
                </m:e>
              </m:box>
              <m:limLow>
                <m:e>
                  <m:r>
                    <m:rPr>
                      <m:sty m:val="p"/>
                    </m:rPr>
                    <m:t>lim</m:t>
                  </m:r>
                </m:e>
                <m:lim>
                  <m:r>
                    <m:t>x</m:t>
                  </m:r>
                  <m:r>
                    <m:rPr>
                      <m:sty m:val="p"/>
                    </m:rPr>
                    <m:t>→</m:t>
                  </m:r>
                  <m:r>
                    <m:rPr>
                      <m:sty m:val="p"/>
                    </m:rPr>
                    <m:t>sup</m:t>
                  </m:r>
                </m:lim>
              </m:limLow>
              <m:r>
                <m:t>T</m:t>
              </m:r>
            </m:e>
          </m:borderBox>
        </m:oMath>
      </m:oMathPara>
    </w:p>
    <w:bookmarkEnd w:id="25"/>
    <w:bookmarkStart w:id="26" w:name="die-trinität"/>
    <w:p>
      <w:pPr>
        <w:pStyle w:val="Heading2"/>
      </w:pPr>
      <w:r>
        <w:t xml:space="preserve">Die Trinität</w:t>
      </w:r>
    </w:p>
    <w:p>
      <w:pPr>
        <w:pStyle w:val="FirstParagraph"/>
      </w:pPr>
      <m:oMathPara>
        <m:oMathParaPr>
          <m:jc m:val="center"/>
        </m:oMathParaPr>
        <m:oMath>
          <m:borderBox>
            <m:e>
              <m:r>
                <m:t>T</m:t>
              </m:r>
              <m:r>
                <m:t>r</m:t>
              </m:r>
              <m:box>
                <m:boxPr>
                  <m:opEmu m:val="on"/>
                </m:boxPr>
                <m:e>
                  <m:r>
                    <m:rPr>
                      <m:sty m:val="p"/>
                    </m:rPr>
                    <m:t>:=</m:t>
                  </m:r>
                </m:e>
              </m:box>
              <m:r>
                <m:t>U</m:t>
              </m:r>
              <m:r>
                <m:rPr>
                  <m:sty m:val="p"/>
                </m:rPr>
                <m:t>∧</m:t>
              </m:r>
              <m:r>
                <m:t>T</m:t>
              </m:r>
              <m:r>
                <m:rPr>
                  <m:sty m:val="p"/>
                </m:rPr>
                <m:t>∧</m:t>
              </m:r>
              <m:r>
                <m:t>S</m:t>
              </m:r>
            </m:e>
          </m:borderBox>
        </m:oMath>
      </m:oMathPara>
    </w:p>
    <w:bookmarkEnd w:id="26"/>
    <w:bookmarkEnd w:id="27"/>
    <w:bookmarkStart w:id="31" w:name="Xd605a0c1e847ba8226ba16413a9d094f1bebcd0"/>
    <w:p>
      <w:pPr>
        <w:pStyle w:val="Heading1"/>
      </w:pPr>
      <w:r>
        <w:t xml:space="preserve">TEIL I: DER METALOGISCHE KERN – NICHT-ABLEITBARKEIT IN REINEM S5</w:t>
      </w:r>
    </w:p>
    <w:bookmarkStart w:id="28" w:name="ziel"/>
    <w:p>
      <w:pPr>
        <w:pStyle w:val="Heading2"/>
      </w:pPr>
      <w:r>
        <w:t xml:space="preserve">Ziel</w:t>
      </w:r>
    </w:p>
    <w:p>
      <w:pPr>
        <w:pStyle w:val="FirstParagraph"/>
      </w:pPr>
      <w:r>
        <w:t xml:space="preserve">Prüfe, ob:</w:t>
      </w:r>
    </w:p>
    <w:p>
      <w:pPr>
        <w:pStyle w:val="BodyText"/>
      </w:pPr>
      <m:oMathPara>
        <m:oMathParaPr>
          <m:jc m:val="center"/>
        </m:oMathParaPr>
        <m:oMath>
          <m:borderBox>
            <m:e>
              <m:r>
                <m:rPr>
                  <m:nor/>
                  <m:sty m:val="p"/>
                </m:rPr>
                <m:t>S5</m:t>
              </m:r>
              <m:r>
                <m:t> </m:t>
              </m:r>
              <m:r>
                <m:rPr>
                  <m:sty m:val="p"/>
                </m:rPr>
                <m:t>⊢</m:t>
              </m:r>
              <m:r>
                <m:t> </m:t>
              </m:r>
              <m:r>
                <m:rPr>
                  <m:sty m:val="p"/>
                </m:rPr>
                <m:t>□</m:t>
              </m:r>
              <m:r>
                <m:rPr>
                  <m:sty m:val="p"/>
                </m:rPr>
                <m:t>∀</m:t>
              </m:r>
              <m:r>
                <m:t>x</m:t>
              </m:r>
              <m:r>
                <m:t> </m:t>
              </m:r>
              <m:r>
                <m:t>T</m:t>
              </m:r>
              <m:r>
                <m:t>r</m:t>
              </m:r>
              <m:r>
                <m:rPr>
                  <m:sty m:val="p"/>
                </m:rPr>
                <m:t>(</m:t>
              </m:r>
              <m:r>
                <m:t>x</m:t>
              </m:r>
              <m:r>
                <m:rPr>
                  <m:sty m:val="p"/>
                </m:rPr>
                <m:t>)</m:t>
              </m:r>
            </m:e>
          </m:borderBox>
        </m:oMath>
      </m:oMathPara>
    </w:p>
    <w:p>
      <w:pPr>
        <w:pStyle w:val="FirstParagraph"/>
      </w:pPr>
      <w:r>
        <w:t xml:space="preserve">aus den Axiomen</w:t>
      </w:r>
      <w:r>
        <w:t xml:space="preserve"> </w:t>
      </w:r>
      <m:oMath>
        <m:r>
          <m:t>A</m:t>
        </m:r>
        <m:r>
          <m:t>1</m:t>
        </m:r>
        <m:r>
          <m:rPr>
            <m:sty m:val="p"/>
          </m:rPr>
          <m:t>,</m:t>
        </m:r>
        <m:r>
          <m:t>A</m:t>
        </m:r>
        <m:r>
          <m:t>4</m:t>
        </m:r>
        <m:r>
          <m:rPr>
            <m:sty m:val="p"/>
          </m:rPr>
          <m:t>,</m:t>
        </m:r>
        <m:r>
          <m:t>A</m:t>
        </m:r>
        <m:r>
          <m:t>11</m:t>
        </m:r>
        <m:r>
          <m:rPr>
            <m:sty m:val="p"/>
          </m:rPr>
          <m:t>,</m:t>
        </m:r>
        <m:r>
          <m:t>A</m:t>
        </m:r>
        <m:r>
          <m:t>12</m:t>
        </m:r>
        <m:r>
          <m:rPr>
            <m:sty m:val="p"/>
          </m:rPr>
          <m:t>,</m:t>
        </m:r>
        <m:r>
          <m:t>A</m:t>
        </m:r>
        <m:r>
          <m:t>13</m:t>
        </m:r>
        <m:r>
          <m:rPr>
            <m:sty m:val="p"/>
          </m:rPr>
          <m:t>,</m:t>
        </m:r>
        <m:r>
          <m:t>A</m:t>
        </m:r>
        <m:r>
          <m:t>14</m:t>
        </m:r>
        <m:r>
          <m:rPr>
            <m:sty m:val="p"/>
          </m:rPr>
          <m:t>,</m:t>
        </m:r>
        <m:r>
          <m:t>A</m:t>
        </m:r>
        <m:r>
          <m:t>15</m:t>
        </m:r>
      </m:oMath>
      <w:r>
        <w:t xml:space="preserve"> </w:t>
      </w:r>
      <w:r>
        <w:t xml:space="preserve">folgt.</w:t>
      </w:r>
    </w:p>
    <w:bookmarkEnd w:id="28"/>
    <w:bookmarkStart w:id="29" w:name="methode"/>
    <w:p>
      <w:pPr>
        <w:pStyle w:val="Heading2"/>
      </w:pPr>
      <w:r>
        <w:t xml:space="preserve">Methode</w:t>
      </w:r>
    </w:p>
    <w:p>
      <w:pPr>
        <w:pStyle w:val="FirstParagraph"/>
      </w:pPr>
      <w:r>
        <w:t xml:space="preserve">Konstruiere ein</w:t>
      </w:r>
      <w:r>
        <w:t xml:space="preserve"> </w:t>
      </w:r>
      <w:r>
        <w:rPr>
          <w:b/>
          <w:bCs/>
        </w:rPr>
        <w:t xml:space="preserve">offenes S5-Tableau</w:t>
      </w:r>
      <w:r>
        <w:t xml:space="preserve"> </w:t>
      </w:r>
      <w:r>
        <w:t xml:space="preserve">für die Negation der Zielformel.</w:t>
      </w:r>
      <w:r>
        <w:t xml:space="preserve"> </w:t>
      </w:r>
      <w:r>
        <w:t xml:space="preserve">Gemäß dem</w:t>
      </w:r>
      <w:r>
        <w:t xml:space="preserve"> </w:t>
      </w:r>
      <w:r>
        <w:rPr>
          <w:b/>
          <w:bCs/>
        </w:rPr>
        <w:t xml:space="preserve">Korrektheits- und Vollständigkeitssatz</w:t>
      </w:r>
      <w:r>
        <w:t xml:space="preserve"> </w:t>
      </w:r>
      <w:r>
        <w:t xml:space="preserve">des S5-Tableau-Kalküls gilt:</w:t>
      </w:r>
    </w:p>
    <w:p>
      <w:pPr>
        <w:pStyle w:val="BlockText"/>
      </w:pPr>
      <w:r>
        <w:t xml:space="preserve">Eine Formelmenge ist genau dann</w:t>
      </w:r>
      <w:r>
        <w:t xml:space="preserve"> </w:t>
      </w:r>
      <w:r>
        <w:rPr>
          <w:b/>
          <w:bCs/>
        </w:rPr>
        <w:t xml:space="preserve">erfüllbar</w:t>
      </w:r>
      <w:r>
        <w:t xml:space="preserve"> </w:t>
      </w:r>
      <w:r>
        <w:t xml:space="preserve">in einem S5-Modell, wenn das Tableau</w:t>
      </w:r>
      <w:r>
        <w:t xml:space="preserve"> </w:t>
      </w:r>
      <w:r>
        <w:rPr>
          <w:b/>
          <w:bCs/>
        </w:rPr>
        <w:t xml:space="preserve">einen offenen Zweig</w:t>
      </w:r>
      <w:r>
        <w:t xml:space="preserve"> </w:t>
      </w:r>
      <w:r>
        <w:t xml:space="preserve">besitzt.</w:t>
      </w:r>
    </w:p>
    <w:bookmarkEnd w:id="29"/>
    <w:bookmarkStart w:id="30" w:name="ergebnis"/>
    <w:p>
      <w:pPr>
        <w:pStyle w:val="Heading2"/>
      </w:pPr>
      <w:r>
        <w:t xml:space="preserve">Ergebnis</w:t>
      </w:r>
    </w:p>
    <w:p>
      <w:pPr>
        <w:pStyle w:val="FirstParagraph"/>
      </w:pPr>
      <w:r>
        <w:t xml:space="preserve">Das Tableau besitzt einen offenen Zweig. Daher:</w:t>
      </w:r>
    </w:p>
    <w:p>
      <w:pPr>
        <w:pStyle w:val="BodyText"/>
      </w:pPr>
      <w:r>
        <w:rPr>
          <w:b/>
          <w:bCs/>
        </w:rPr>
        <w:t xml:space="preserve">Satz 1</w:t>
      </w:r>
      <w:r>
        <w:t xml:space="preserve"> </w:t>
      </w:r>
      <w:r>
        <w:t xml:space="preserve">(Nicht-Ableitbarkeit in reinem S5).</w:t>
      </w:r>
      <w:r>
        <w:t xml:space="preserve"> </w:t>
      </w:r>
      <w:r>
        <w:t xml:space="preserve"> </w:t>
      </w:r>
      <m:oMathPara>
        <m:oMathParaPr>
          <m:jc m:val="center"/>
        </m:oMathParaPr>
        <m:oMath>
          <m:borderBox>
            <m:e>
              <m:r>
                <m:rPr>
                  <m:nor/>
                  <m:sty m:val="p"/>
                </m:rPr>
                <m:t>S5</m:t>
              </m:r>
              <m:r>
                <m:t> </m:t>
              </m:r>
              <m:box>
                <m:boxPr>
                  <m:opEmu m:val="on"/>
                </m:boxPr>
                <m:e>
                  <m:r>
                    <m:rPr>
                      <m:sty m:val="p"/>
                    </m:rPr>
                    <m:t>⊬</m:t>
                  </m:r>
                </m:e>
              </m:box>
              <m:r>
                <m:t> </m:t>
              </m:r>
              <m:r>
                <m:rPr>
                  <m:sty m:val="p"/>
                </m:rPr>
                <m:t>□</m:t>
              </m:r>
              <m:r>
                <m:rPr>
                  <m:sty m:val="p"/>
                </m:rPr>
                <m:t>∀</m:t>
              </m:r>
              <m:r>
                <m:t>x</m:t>
              </m:r>
              <m:r>
                <m:t> </m:t>
              </m:r>
              <m:r>
                <m:t>T</m:t>
              </m:r>
              <m:r>
                <m:t>r</m:t>
              </m:r>
              <m:r>
                <m:rPr>
                  <m:sty m:val="p"/>
                </m:rPr>
                <m:t>(</m:t>
              </m:r>
              <m:r>
                <m:t>x</m:t>
              </m:r>
              <m:r>
                <m:rPr>
                  <m:sty m:val="p"/>
                </m:rPr>
                <m:t>)</m:t>
              </m:r>
            </m:e>
          </m:borderBox>
        </m:oMath>
      </m:oMathPara>
    </w:p>
    <w:p>
      <w:pPr>
        <w:pStyle w:val="FirstParagraph"/>
      </w:pPr>
      <w:r>
        <w:rPr>
          <w:b/>
          <w:bCs/>
        </w:rPr>
        <w:t xml:space="preserve">Interpretation:</w:t>
      </w:r>
      <w:r>
        <w:t xml:space="preserve"> </w:t>
      </w:r>
      <w:r>
        <w:t xml:space="preserve">Die Axiome</w:t>
      </w:r>
      <w:r>
        <w:t xml:space="preserve"> </w:t>
      </w:r>
      <m:oMath>
        <m:r>
          <m:t>A</m:t>
        </m:r>
        <m:r>
          <m:t>1</m:t>
        </m:r>
        <m:r>
          <m:rPr>
            <m:sty m:val="p"/>
          </m:rPr>
          <m:t>,</m:t>
        </m:r>
        <m:r>
          <m:t>A</m:t>
        </m:r>
        <m:r>
          <m:t>4</m:t>
        </m:r>
        <m:r>
          <m:rPr>
            <m:sty m:val="p"/>
          </m:rPr>
          <m:t>,</m:t>
        </m:r>
        <m:r>
          <m:t>A</m:t>
        </m:r>
        <m:r>
          <m:t>11</m:t>
        </m:r>
        <m:r>
          <m:rPr>
            <m:sty m:val="p"/>
          </m:rPr>
          <m:t>,</m:t>
        </m:r>
        <m:r>
          <m:t>A</m:t>
        </m:r>
        <m:r>
          <m:t>12</m:t>
        </m:r>
        <m:r>
          <m:rPr>
            <m:sty m:val="p"/>
          </m:rPr>
          <m:t>,</m:t>
        </m:r>
        <m:r>
          <m:t>A</m:t>
        </m:r>
        <m:r>
          <m:t>13</m:t>
        </m:r>
        <m:r>
          <m:rPr>
            <m:sty m:val="p"/>
          </m:rPr>
          <m:t>,</m:t>
        </m:r>
        <m:r>
          <m:t>A</m:t>
        </m:r>
        <m:r>
          <m:t>14</m:t>
        </m:r>
        <m:r>
          <m:rPr>
            <m:sty m:val="p"/>
          </m:rPr>
          <m:t>,</m:t>
        </m:r>
        <m:r>
          <m:t>A</m:t>
        </m:r>
        <m:r>
          <m:t>15</m:t>
        </m:r>
      </m:oMath>
      <w:r>
        <w:t xml:space="preserve"> </w:t>
      </w:r>
      <w:r>
        <w:t xml:space="preserve">reichen</w:t>
      </w:r>
      <w:r>
        <w:t xml:space="preserve"> </w:t>
      </w:r>
      <w:r>
        <w:rPr>
          <w:b/>
          <w:bCs/>
        </w:rPr>
        <w:t xml:space="preserve">nicht aus</w:t>
      </w:r>
      <w:r>
        <w:t xml:space="preserve">, um die Trinitätsstruktur zu erzwingen.</w:t>
      </w:r>
    </w:p>
    <w:p>
      <w:pPr>
        <w:pStyle w:val="BodyText"/>
      </w:pPr>
      <w:r>
        <w:t xml:space="preserve">Dies ist ein</w:t>
      </w:r>
      <w:r>
        <w:t xml:space="preserve"> </w:t>
      </w:r>
      <w:r>
        <w:rPr>
          <w:b/>
          <w:bCs/>
        </w:rPr>
        <w:t xml:space="preserve">Unabhängigkeitsresultat</w:t>
      </w:r>
      <w:r>
        <w:t xml:space="preserve"> </w:t>
      </w:r>
      <w:r>
        <w:t xml:space="preserve">im Sinne der metalogischen Tradition: Es zeigt, dass die Trinitätsstruktur nicht aus den gegebenen Axiomen folgt – unabhängig davon, ob sie wahr ist. Das eigentliche Resultat ist:</w:t>
      </w:r>
      <w:r>
        <w:t xml:space="preserve"> </w:t>
      </w:r>
      <w:r>
        <w:rPr>
          <w:b/>
          <w:bCs/>
        </w:rPr>
        <w:t xml:space="preserve">Ohne zusätzliche Struktur geht es nicht.</w:t>
      </w:r>
    </w:p>
    <w:bookmarkEnd w:id="30"/>
    <w:bookmarkEnd w:id="31"/>
    <w:bookmarkStart w:id="35" w:name="Xab1d0686bd5a08d87d69f24fcb8817b1933f0d0"/>
    <w:p>
      <w:pPr>
        <w:pStyle w:val="Heading1"/>
      </w:pPr>
      <w:r>
        <w:t xml:space="preserve">TEIL II: EINE HINREICHENDE ERWEITERUNG – KONSTRUKTION UND BEWEIS</w:t>
      </w:r>
    </w:p>
    <w:p>
      <w:pPr>
        <w:pStyle w:val="FirstParagraph"/>
      </w:pPr>
      <w:r>
        <w:t xml:space="preserve">Die Superpositions-Axiome sind nicht unabhängig von der Zielstruktur formuliert, sondern stellen eine</w:t>
      </w:r>
      <w:r>
        <w:t xml:space="preserve"> </w:t>
      </w:r>
      <w:r>
        <w:rPr>
          <w:b/>
          <w:bCs/>
        </w:rPr>
        <w:t xml:space="preserve">konstruktive Erweiterung</w:t>
      </w:r>
      <w:r>
        <w:t xml:space="preserve"> </w:t>
      </w:r>
      <w:r>
        <w:t xml:space="preserve">der ursprünglichen Ontologie dar. Sie sind so gewählt, dass sie die gewünschte Konsequenz erzeugen. Ihre konstruktive Natur bedeutet: Sie sind ein</w:t>
      </w:r>
      <w:r>
        <w:t xml:space="preserve"> </w:t>
      </w:r>
      <w:r>
        <w:rPr>
          <w:b/>
          <w:bCs/>
        </w:rPr>
        <w:t xml:space="preserve">Mittel</w:t>
      </w:r>
      <w:r>
        <w:t xml:space="preserve">, um die gewünschte Konsequenz zu erzeugen – nicht eine Entdeckung unabhängiger Tatsachen.</w:t>
      </w:r>
    </w:p>
    <w:bookmarkStart w:id="32" w:name="die-superpositions-erweiterung-asp"/>
    <w:p>
      <w:pPr>
        <w:pStyle w:val="Heading2"/>
      </w:pPr>
      <w:r>
        <w:t xml:space="preserve">Die Superpositions-Erweiterung (ASP)</w:t>
      </w:r>
    </w:p>
    <w:p>
      <w:pPr>
        <w:pStyle w:val="FirstParagraph"/>
      </w:pPr>
      <m:oMathPara>
        <m:oMathParaPr>
          <m:jc m:val="center"/>
        </m:oMathParaPr>
        <m:oMath>
          <m:eqArr>
            <m:e>
              <m:r>
                <m:t>A</m:t>
              </m:r>
              <m:r>
                <m:t>S</m:t>
              </m:r>
              <m:r>
                <m:t>P</m:t>
              </m:r>
              <m:r>
                <m:t>1</m:t>
              </m:r>
              <m:r>
                <m:t>&amp;</m:t>
              </m:r>
              <m:box>
                <m:boxPr>
                  <m:opEmu m:val="on"/>
                </m:boxPr>
                <m:e>
                  <m:r>
                    <m:rPr>
                      <m:sty m:val="p"/>
                    </m:rPr>
                    <m:t>:=</m:t>
                  </m:r>
                </m:e>
              </m:box>
              <m:r>
                <m:t>C</m:t>
              </m:r>
              <m:r>
                <m:rPr>
                  <m:sty m:val="p"/>
                </m:rPr>
                <m:t>@</m:t>
              </m:r>
              <m:sSub>
                <m:e>
                  <m:r>
                    <m:t>w</m:t>
                  </m:r>
                </m:e>
                <m:sub>
                  <m:r>
                    <m:rPr>
                      <m:nor/>
                      <m:sty m:val="p"/>
                    </m:rPr>
                    <m:t>super</m:t>
                  </m:r>
                </m:sub>
              </m:sSub>
            </m:e>
            <m:e>
              <m:r>
                <m:t>A</m:t>
              </m:r>
              <m:r>
                <m:t>S</m:t>
              </m:r>
              <m:r>
                <m:t>P</m:t>
              </m:r>
              <m:r>
                <m:t>2</m:t>
              </m:r>
              <m:r>
                <m:t>&amp;</m:t>
              </m:r>
              <m:box>
                <m:boxPr>
                  <m:opEmu m:val="on"/>
                </m:boxPr>
                <m:e>
                  <m:r>
                    <m:rPr>
                      <m:sty m:val="p"/>
                    </m:rPr>
                    <m:t>:=</m:t>
                  </m:r>
                </m:e>
              </m:box>
              <m:r>
                <m:rPr>
                  <m:sty m:val="p"/>
                </m:rPr>
                <m:t>∀</m:t>
              </m:r>
              <m:r>
                <m:t>v</m:t>
              </m:r>
              <m:r>
                <m:rPr>
                  <m:sty m:val="p"/>
                </m:rPr>
                <m:t>(</m:t>
              </m:r>
              <m:sSub>
                <m:e>
                  <m:r>
                    <m:t>w</m:t>
                  </m:r>
                </m:e>
                <m:sub>
                  <m:r>
                    <m:rPr>
                      <m:nor/>
                      <m:sty m:val="p"/>
                    </m:rPr>
                    <m:t>super</m:t>
                  </m:r>
                </m:sub>
              </m:sSub>
              <m:r>
                <m:t>R</m:t>
              </m:r>
              <m:r>
                <m:t>v</m:t>
              </m:r>
              <m:r>
                <m:rPr>
                  <m:sty m:val="p"/>
                </m:rPr>
                <m:t>→</m:t>
              </m:r>
              <m:r>
                <m:rPr>
                  <m:sty m:val="p"/>
                </m:rPr>
                <m:t>(</m:t>
              </m:r>
              <m:r>
                <m:t>C</m:t>
              </m:r>
              <m:r>
                <m:rPr>
                  <m:sty m:val="p"/>
                </m:rPr>
                <m:t>@</m:t>
              </m:r>
              <m:r>
                <m:t>v</m:t>
              </m:r>
              <m:r>
                <m:rPr>
                  <m:sty m:val="p"/>
                </m:rPr>
                <m:t>↔</m:t>
              </m:r>
              <m:r>
                <m:t>v</m:t>
              </m:r>
              <m:r>
                <m:rPr>
                  <m:sty m:val="p"/>
                </m:rPr>
                <m:t>=</m:t>
              </m:r>
              <m:sSub>
                <m:e>
                  <m:r>
                    <m:t>w</m:t>
                  </m:r>
                </m:e>
                <m:sub>
                  <m:r>
                    <m:rPr>
                      <m:nor/>
                      <m:sty m:val="p"/>
                    </m:rPr>
                    <m:t>super</m:t>
                  </m:r>
                </m:sub>
              </m:sSub>
              <m:r>
                <m:rPr>
                  <m:sty m:val="p"/>
                </m:rPr>
                <m:t>)</m:t>
              </m:r>
              <m:r>
                <m:rPr>
                  <m:sty m:val="p"/>
                </m:rPr>
                <m:t>)</m:t>
              </m:r>
            </m:e>
            <m:e>
              <m:r>
                <m:t>A</m:t>
              </m:r>
              <m:r>
                <m:t>S</m:t>
              </m:r>
              <m:r>
                <m:t>P</m:t>
              </m:r>
              <m:r>
                <m:t>3</m:t>
              </m:r>
              <m:r>
                <m:t>&amp;</m:t>
              </m:r>
              <m:box>
                <m:boxPr>
                  <m:opEmu m:val="on"/>
                </m:boxPr>
                <m:e>
                  <m:r>
                    <m:rPr>
                      <m:sty m:val="p"/>
                    </m:rPr>
                    <m:t>:=</m:t>
                  </m:r>
                </m:e>
              </m:box>
              <m:r>
                <m:rPr>
                  <m:sty m:val="p"/>
                </m:rPr>
                <m:t>∀</m:t>
              </m:r>
              <m:r>
                <m:t>x</m:t>
              </m:r>
              <m:r>
                <m:t> </m:t>
              </m:r>
              <m:r>
                <m:t>T</m:t>
              </m:r>
              <m:r>
                <m:t>r</m:t>
              </m:r>
              <m:r>
                <m:rPr>
                  <m:sty m:val="p"/>
                </m:rPr>
                <m:t>(</m:t>
              </m:r>
              <m:r>
                <m:t>x</m:t>
              </m:r>
              <m:r>
                <m:rPr>
                  <m:sty m:val="p"/>
                </m:rPr>
                <m:t>)</m:t>
              </m:r>
              <m:r>
                <m:rPr>
                  <m:sty m:val="p"/>
                </m:rPr>
                <m:t>@</m:t>
              </m:r>
              <m:sSub>
                <m:e>
                  <m:r>
                    <m:t>w</m:t>
                  </m:r>
                </m:e>
                <m:sub>
                  <m:r>
                    <m:rPr>
                      <m:nor/>
                      <m:sty m:val="p"/>
                    </m:rPr>
                    <m:t>super</m:t>
                  </m:r>
                </m:sub>
              </m:sSub>
            </m:e>
            <m:e>
              <m:r>
                <m:t>A</m:t>
              </m:r>
              <m:r>
                <m:t>S</m:t>
              </m:r>
              <m:r>
                <m:t>P</m:t>
              </m:r>
              <m:r>
                <m:t>4</m:t>
              </m:r>
              <m:r>
                <m:t>&amp;</m:t>
              </m:r>
              <m:box>
                <m:boxPr>
                  <m:opEmu m:val="on"/>
                </m:boxPr>
                <m:e>
                  <m:r>
                    <m:rPr>
                      <m:sty m:val="p"/>
                    </m:rPr>
                    <m:t>:=</m:t>
                  </m:r>
                </m:e>
              </m:box>
              <m:r>
                <m:rPr>
                  <m:sty m:val="p"/>
                </m:rPr>
                <m:t>∀</m:t>
              </m:r>
              <m:r>
                <m:t>v</m:t>
              </m:r>
              <m:r>
                <m:rPr>
                  <m:sty m:val="p"/>
                </m:rPr>
                <m:t>(</m:t>
              </m:r>
              <m:sSub>
                <m:e>
                  <m:r>
                    <m:t>w</m:t>
                  </m:r>
                </m:e>
                <m:sub>
                  <m:r>
                    <m:rPr>
                      <m:nor/>
                      <m:sty m:val="p"/>
                    </m:rPr>
                    <m:t>super</m:t>
                  </m:r>
                </m:sub>
              </m:sSub>
              <m:r>
                <m:t>R</m:t>
              </m:r>
              <m:r>
                <m:t>v</m:t>
              </m:r>
              <m:r>
                <m:rPr>
                  <m:sty m:val="p"/>
                </m:rPr>
                <m:t>→</m:t>
              </m:r>
              <m:r>
                <m:rPr>
                  <m:sty m:val="p"/>
                </m:rPr>
                <m:t>∀</m:t>
              </m:r>
              <m:r>
                <m:t>x</m:t>
              </m:r>
              <m:r>
                <m:t> </m:t>
              </m:r>
              <m:r>
                <m:t>T</m:t>
              </m:r>
              <m:r>
                <m:t>r</m:t>
              </m:r>
              <m:r>
                <m:rPr>
                  <m:sty m:val="p"/>
                </m:rPr>
                <m:t>(</m:t>
              </m:r>
              <m:r>
                <m:t>x</m:t>
              </m:r>
              <m:r>
                <m:rPr>
                  <m:sty m:val="p"/>
                </m:rPr>
                <m:t>)</m:t>
              </m:r>
              <m:r>
                <m:rPr>
                  <m:sty m:val="p"/>
                </m:rPr>
                <m:t>@</m:t>
              </m:r>
              <m:r>
                <m:t>v</m:t>
              </m:r>
              <m:r>
                <m:rPr>
                  <m:sty m:val="p"/>
                </m:rPr>
                <m:t>)</m:t>
              </m:r>
            </m:e>
            <m:e>
              <m:r>
                <m:t>A</m:t>
              </m:r>
              <m:r>
                <m:t>S</m:t>
              </m:r>
              <m:r>
                <m:t>P</m:t>
              </m:r>
              <m:r>
                <m:t>5</m:t>
              </m:r>
              <m:r>
                <m:t>&amp;</m:t>
              </m:r>
              <m:box>
                <m:boxPr>
                  <m:opEmu m:val="on"/>
                </m:boxPr>
                <m:e>
                  <m:r>
                    <m:rPr>
                      <m:sty m:val="p"/>
                    </m:rPr>
                    <m:t>:=</m:t>
                  </m:r>
                </m:e>
              </m:box>
              <m:r>
                <m:rPr>
                  <m:sty m:val="p"/>
                </m:rPr>
                <m:t>∀</m:t>
              </m:r>
              <m:r>
                <m:t>v</m:t>
              </m:r>
              <m:r>
                <m:rPr>
                  <m:sty m:val="p"/>
                </m:rPr>
                <m:t>(</m:t>
              </m:r>
              <m:r>
                <m:t>v</m:t>
              </m:r>
              <m:r>
                <m:rPr>
                  <m:sty m:val="p"/>
                </m:rPr>
                <m:t>≠</m:t>
              </m:r>
              <m:sSub>
                <m:e>
                  <m:r>
                    <m:t>w</m:t>
                  </m:r>
                </m:e>
                <m:sub>
                  <m:r>
                    <m:rPr>
                      <m:nor/>
                      <m:sty m:val="p"/>
                    </m:rPr>
                    <m:t>super</m:t>
                  </m:r>
                </m:sub>
              </m:sSub>
              <m:r>
                <m:rPr>
                  <m:sty m:val="p"/>
                </m:rPr>
                <m:t>→</m:t>
              </m:r>
              <m:sSub>
                <m:e>
                  <m:r>
                    <m:t>w</m:t>
                  </m:r>
                </m:e>
                <m:sub>
                  <m:r>
                    <m:rPr>
                      <m:nor/>
                      <m:sty m:val="p"/>
                    </m:rPr>
                    <m:t>super</m:t>
                  </m:r>
                </m:sub>
              </m:sSub>
              <m:r>
                <m:t>R</m:t>
              </m:r>
              <m:r>
                <m:t>v</m:t>
              </m:r>
              <m:r>
                <m:rPr>
                  <m:sty m:val="p"/>
                </m:rPr>
                <m:t>)</m:t>
              </m:r>
            </m:e>
          </m:eqArr>
        </m:oMath>
      </m:oMathPara>
    </w:p>
    <w:bookmarkEnd w:id="32"/>
    <w:bookmarkStart w:id="33" w:name="modelltheoretische-formulierung"/>
    <w:p>
      <w:pPr>
        <w:pStyle w:val="Heading2"/>
      </w:pPr>
      <w:r>
        <w:t xml:space="preserve">Modelltheoretische Formulierung</w:t>
      </w:r>
    </w:p>
    <w:p>
      <w:pPr>
        <w:pStyle w:val="FirstParagraph"/>
      </w:pPr>
      <w:r>
        <w:t xml:space="preserve">Die Klasse aller S5-Modelle,</w:t>
      </w:r>
      <w:r>
        <w:t xml:space="preserve"> </w:t>
      </w:r>
      <w:r>
        <w:rPr>
          <w:b/>
          <w:bCs/>
        </w:rPr>
        <w:t xml:space="preserve">deren Interpretation zusätzlich die Axiome ASP1–ASP5 erfüllt</w:t>
      </w:r>
      <w:r>
        <w:t xml:space="preserve">, erfüllt auch die Trinitätsformel</w:t>
      </w:r>
      <w:r>
        <w:t xml:space="preserve"> </w:t>
      </w:r>
      <m:oMath>
        <m:r>
          <m:rPr>
            <m:sty m:val="p"/>
          </m:rPr>
          <m:t>□</m:t>
        </m:r>
        <m:r>
          <m:rPr>
            <m:sty m:val="p"/>
          </m:rPr>
          <m:t>∀</m:t>
        </m:r>
        <m:r>
          <m:t>x</m:t>
        </m:r>
        <m:r>
          <m:t> </m:t>
        </m:r>
        <m:r>
          <m:t>T</m:t>
        </m:r>
        <m:r>
          <m:t>r</m:t>
        </m:r>
        <m:r>
          <m:rPr>
            <m:sty m:val="p"/>
          </m:rPr>
          <m:t>(</m:t>
        </m:r>
        <m:r>
          <m:t>x</m:t>
        </m:r>
        <m:r>
          <m:rPr>
            <m:sty m:val="p"/>
          </m:rPr>
          <m:t>)</m:t>
        </m:r>
      </m:oMath>
      <w:r>
        <w:t xml:space="preserve">.</w:t>
      </w:r>
    </w:p>
    <w:bookmarkEnd w:id="33"/>
    <w:bookmarkStart w:id="34" w:name="beweis-der-ableitbarkeit-in-s5sp"/>
    <w:p>
      <w:pPr>
        <w:pStyle w:val="Heading2"/>
      </w:pPr>
      <w:r>
        <w:t xml:space="preserve">Beweis der Ableitbarkeit in S5+SP</w:t>
      </w:r>
    </w:p>
    <w:p>
      <w:pPr>
        <w:pStyle w:val="FirstParagraph"/>
      </w:pPr>
      <w:r>
        <w:rPr>
          <w:b/>
          <w:bCs/>
        </w:rPr>
        <w:t xml:space="preserve">Satz 2</w:t>
      </w:r>
      <w:r>
        <w:t xml:space="preserve"> </w:t>
      </w:r>
      <w:r>
        <w:t xml:space="preserve">(Ableitbarkeit in S5+SP).</w:t>
      </w:r>
      <w:r>
        <w:t xml:space="preserve"> </w:t>
      </w:r>
      <w:r>
        <w:t xml:space="preserve"> </w:t>
      </w:r>
      <m:oMathPara>
        <m:oMathParaPr>
          <m:jc m:val="center"/>
        </m:oMathParaPr>
        <m:oMath>
          <m:borderBox>
            <m:e>
              <m:r>
                <m:rPr>
                  <m:nor/>
                  <m:sty m:val="p"/>
                </m:rPr>
                <m:t>S5+SP</m:t>
              </m:r>
              <m:r>
                <m:t> </m:t>
              </m:r>
              <m:r>
                <m:rPr>
                  <m:sty m:val="p"/>
                </m:rPr>
                <m:t>⊢</m:t>
              </m:r>
              <m:r>
                <m:t> </m:t>
              </m:r>
              <m:r>
                <m:rPr>
                  <m:sty m:val="p"/>
                </m:rPr>
                <m:t>□</m:t>
              </m:r>
              <m:r>
                <m:rPr>
                  <m:sty m:val="p"/>
                </m:rPr>
                <m:t>∀</m:t>
              </m:r>
              <m:r>
                <m:t>x</m:t>
              </m:r>
              <m:r>
                <m:t> </m:t>
              </m:r>
              <m:r>
                <m:t>T</m:t>
              </m:r>
              <m:r>
                <m:t>r</m:t>
              </m:r>
              <m:r>
                <m:rPr>
                  <m:sty m:val="p"/>
                </m:rPr>
                <m:t>(</m:t>
              </m:r>
              <m:r>
                <m:t>x</m:t>
              </m:r>
              <m:r>
                <m:rPr>
                  <m:sty m:val="p"/>
                </m:rPr>
                <m:t>)</m:t>
              </m:r>
            </m:e>
          </m:borderBox>
        </m:oMath>
      </m:oMathPara>
    </w:p>
    <w:p>
      <w:pPr>
        <w:pStyle w:val="FirstParagraph"/>
      </w:pPr>
      <w:r>
        <w:rPr>
          <w:b/>
          <w:bCs/>
        </w:rPr>
        <w:t xml:space="preserve">Interpretation:</w:t>
      </w:r>
      <w:r>
        <w:t xml:space="preserve"> </w:t>
      </w:r>
      <w:r>
        <w:t xml:space="preserve">Die Superpositions-Axiome ASP1–ASP5 sind</w:t>
      </w:r>
      <w:r>
        <w:t xml:space="preserve"> </w:t>
      </w:r>
      <w:r>
        <w:rPr>
          <w:b/>
          <w:bCs/>
        </w:rPr>
        <w:t xml:space="preserve">hinreichend</w:t>
      </w:r>
      <w:r>
        <w:t xml:space="preserve">, um die Trinität abzuleiten. Ob sie notwendig sind – ob also jedes einzelne Axiom unverzichtbar ist – ist Gegenstand zukünftiger Minimalitätsuntersuchungen.</w:t>
      </w:r>
    </w:p>
    <w:bookmarkEnd w:id="34"/>
    <w:bookmarkEnd w:id="35"/>
    <w:bookmarkStart w:id="40" w:name="X233795c4cf461c2ca1296c189f38de507096307"/>
    <w:p>
      <w:pPr>
        <w:pStyle w:val="Heading1"/>
      </w:pPr>
      <w:r>
        <w:t xml:space="preserve">TEIL III: ESCHATOLOGISCHE KONSEQUENZEN – EINE WEITERE HINREICHENDE ERWEITERUNG</w:t>
      </w:r>
    </w:p>
    <w:p>
      <w:pPr>
        <w:pStyle w:val="FirstParagraph"/>
      </w:pPr>
      <w:r>
        <w:t xml:space="preserve">Die Aussagen über Auferstehung, Unitarität und Integration sind wesentlich stärker von den eingeführten Axiomen abhängig als die Trinitätsstruktur selbst. Ihre Überzeugungskraft hängt daher weniger von der formalen Ableitung als von der</w:t>
      </w:r>
      <w:r>
        <w:t xml:space="preserve"> </w:t>
      </w:r>
      <w:r>
        <w:rPr>
          <w:b/>
          <w:bCs/>
        </w:rPr>
        <w:t xml:space="preserve">Plausibilität der Axiome</w:t>
      </w:r>
      <w:r>
        <w:t xml:space="preserve"> </w:t>
      </w:r>
      <w:r>
        <w:t xml:space="preserve">ab. Die Arbeit bietet hier keine unabhängige Begründung.</w:t>
      </w:r>
    </w:p>
    <w:bookmarkStart w:id="36" w:name="die-erweiterung-von-s"/>
    <w:p>
      <w:pPr>
        <w:pStyle w:val="Heading2"/>
      </w:pPr>
      <w:r>
        <w:t xml:space="preserve">Die Erweiterung von S</w:t>
      </w:r>
    </w:p>
    <w:p>
      <w:pPr>
        <w:pStyle w:val="FirstParagraph"/>
      </w:pPr>
      <m:oMathPara>
        <m:oMathParaPr>
          <m:jc m:val="center"/>
        </m:oMathParaPr>
        <m:oMath>
          <m:borderBox>
            <m:e>
              <m:r>
                <m:t>A</m:t>
              </m:r>
              <m:r>
                <m:t>16</m:t>
              </m:r>
              <m:box>
                <m:boxPr>
                  <m:opEmu m:val="on"/>
                </m:boxPr>
                <m:e>
                  <m:r>
                    <m:rPr>
                      <m:sty m:val="p"/>
                    </m:rPr>
                    <m:t>:=</m:t>
                  </m:r>
                </m:e>
              </m:box>
              <m:r>
                <m:rPr>
                  <m:sty m:val="p"/>
                </m:rPr>
                <m:t>∀</m:t>
              </m:r>
              <m:r>
                <m:t>c</m:t>
              </m:r>
              <m:r>
                <m:rPr>
                  <m:sty m:val="p"/>
                </m:rPr>
                <m:t>(</m:t>
              </m:r>
              <m:r>
                <m:rPr>
                  <m:nor/>
                  <m:sty m:val="p"/>
                </m:rPr>
                <m:t>Bewusstsein</m:t>
              </m:r>
              <m:r>
                <m:rPr>
                  <m:sty m:val="p"/>
                </m:rPr>
                <m:t>(</m:t>
              </m:r>
              <m:r>
                <m:t>c</m:t>
              </m:r>
              <m:r>
                <m:rPr>
                  <m:sty m:val="p"/>
                </m:rPr>
                <m:t>)</m:t>
              </m:r>
              <m:r>
                <m:rPr>
                  <m:sty m:val="p"/>
                </m:rPr>
                <m:t>→</m:t>
              </m:r>
              <m:r>
                <m:rPr>
                  <m:nor/>
                  <m:sty m:val="p"/>
                </m:rPr>
                <m:t>integriert</m:t>
              </m:r>
              <m:r>
                <m:rPr>
                  <m:sty m:val="p"/>
                </m:rPr>
                <m:t>(</m:t>
              </m:r>
              <m:r>
                <m:t>c</m:t>
              </m:r>
              <m:r>
                <m:rPr>
                  <m:sty m:val="p"/>
                </m:rPr>
                <m:t>,</m:t>
              </m:r>
              <m:r>
                <m:t>S</m:t>
              </m:r>
              <m:r>
                <m:rPr>
                  <m:sty m:val="p"/>
                </m:rPr>
                <m:t>)</m:t>
              </m:r>
              <m:r>
                <m:rPr>
                  <m:sty m:val="p"/>
                </m:rPr>
                <m:t>)</m:t>
              </m:r>
            </m:e>
          </m:borderBox>
        </m:oMath>
      </m:oMathPara>
    </w:p>
    <w:p>
      <w:pPr>
        <w:pStyle w:val="FirstParagraph"/>
      </w:pPr>
      <m:oMathPara>
        <m:oMathParaPr>
          <m:jc m:val="center"/>
        </m:oMathParaPr>
        <m:oMath>
          <m:borderBox>
            <m:e>
              <m:r>
                <m:t>A</m:t>
              </m:r>
              <m:r>
                <m:t>17</m:t>
              </m:r>
              <m:box>
                <m:boxPr>
                  <m:opEmu m:val="on"/>
                </m:boxPr>
                <m:e>
                  <m:r>
                    <m:rPr>
                      <m:sty m:val="p"/>
                    </m:rPr>
                    <m:t>:=</m:t>
                  </m:r>
                </m:e>
              </m:box>
              <m:r>
                <m:rPr>
                  <m:sty m:val="p"/>
                </m:rPr>
                <m:t>∀</m:t>
              </m:r>
              <m:r>
                <m:t>c</m:t>
              </m:r>
              <m:r>
                <m:rPr>
                  <m:sty m:val="p"/>
                </m:rPr>
                <m:t>(</m:t>
              </m:r>
              <m:r>
                <m:rPr>
                  <m:nor/>
                  <m:sty m:val="p"/>
                </m:rPr>
                <m:t>Wissen</m:t>
              </m:r>
              <m:r>
                <m:rPr>
                  <m:sty m:val="p"/>
                </m:rPr>
                <m:t>(</m:t>
              </m:r>
              <m:r>
                <m:t>c</m:t>
              </m:r>
              <m:r>
                <m:rPr>
                  <m:sty m:val="p"/>
                </m:rPr>
                <m:t>,</m:t>
              </m:r>
              <m:r>
                <m:t>S</m:t>
              </m:r>
              <m:r>
                <m:rPr>
                  <m:sty m:val="p"/>
                </m:rPr>
                <m:t>)</m:t>
              </m:r>
              <m:r>
                <m:rPr>
                  <m:sty m:val="p"/>
                </m:rPr>
                <m:t>↔</m:t>
              </m:r>
              <m:r>
                <m:rPr>
                  <m:nor/>
                  <m:sty m:val="p"/>
                </m:rPr>
                <m:t>integriert</m:t>
              </m:r>
              <m:r>
                <m:rPr>
                  <m:sty m:val="p"/>
                </m:rPr>
                <m:t>(</m:t>
              </m:r>
              <m:r>
                <m:t>c</m:t>
              </m:r>
              <m:r>
                <m:rPr>
                  <m:sty m:val="p"/>
                </m:rPr>
                <m:t>,</m:t>
              </m:r>
              <m:r>
                <m:t>S</m:t>
              </m:r>
              <m:r>
                <m:rPr>
                  <m:sty m:val="p"/>
                </m:rPr>
                <m:t>)</m:t>
              </m:r>
              <m:r>
                <m:rPr>
                  <m:sty m:val="p"/>
                </m:rPr>
                <m:t>)</m:t>
              </m:r>
            </m:e>
          </m:borderBox>
        </m:oMath>
      </m:oMathPara>
    </w:p>
    <w:bookmarkEnd w:id="36"/>
    <w:bookmarkStart w:id="37" w:name="die-unitarität"/>
    <w:p>
      <w:pPr>
        <w:pStyle w:val="Heading2"/>
      </w:pPr>
      <w:r>
        <w:t xml:space="preserve">Die Unitarität</w:t>
      </w:r>
    </w:p>
    <w:p>
      <w:pPr>
        <w:pStyle w:val="FirstParagraph"/>
      </w:pPr>
      <m:oMathPara>
        <m:oMathParaPr>
          <m:jc m:val="center"/>
        </m:oMathParaPr>
        <m:oMath>
          <m:borderBox>
            <m:e>
              <m:r>
                <m:t>A</m:t>
              </m:r>
              <m:r>
                <m:t>18</m:t>
              </m:r>
              <m:box>
                <m:boxPr>
                  <m:opEmu m:val="on"/>
                </m:boxPr>
                <m:e>
                  <m:r>
                    <m:rPr>
                      <m:sty m:val="p"/>
                    </m:rPr>
                    <m:t>:=</m:t>
                  </m:r>
                </m:e>
              </m:box>
              <m:r>
                <m:rPr>
                  <m:sty m:val="p"/>
                </m:rPr>
                <m:t>□</m:t>
              </m:r>
              <m:r>
                <m:rPr>
                  <m:sty m:val="p"/>
                </m:rPr>
                <m:t>∀</m:t>
              </m:r>
              <m:r>
                <m:t>I</m:t>
              </m:r>
              <m:r>
                <m:rPr>
                  <m:sty m:val="p"/>
                </m:rPr>
                <m:t>(</m:t>
              </m:r>
              <m:r>
                <m:rPr>
                  <m:nor/>
                  <m:sty m:val="p"/>
                </m:rPr>
                <m:t>Existenz</m:t>
              </m:r>
              <m:r>
                <m:rPr>
                  <m:sty m:val="p"/>
                </m:rPr>
                <m:t>(</m:t>
              </m:r>
              <m:r>
                <m:t>I</m:t>
              </m:r>
              <m:r>
                <m:rPr>
                  <m:sty m:val="p"/>
                </m:rPr>
                <m:t>)</m:t>
              </m:r>
              <m:r>
                <m:rPr>
                  <m:sty m:val="p"/>
                </m:rPr>
                <m:t>→</m:t>
              </m:r>
              <m:r>
                <m:rPr>
                  <m:nor/>
                  <m:sty m:val="p"/>
                </m:rPr>
                <m:t>Erhaltung</m:t>
              </m:r>
              <m:r>
                <m:rPr>
                  <m:sty m:val="p"/>
                </m:rPr>
                <m:t>(</m:t>
              </m:r>
              <m:r>
                <m:t>I</m:t>
              </m:r>
              <m:r>
                <m:rPr>
                  <m:sty m:val="p"/>
                </m:rPr>
                <m:t>)</m:t>
              </m:r>
              <m:r>
                <m:rPr>
                  <m:sty m:val="p"/>
                </m:rPr>
                <m:t>)</m:t>
              </m:r>
            </m:e>
          </m:borderBox>
        </m:oMath>
      </m:oMathPara>
    </w:p>
    <w:bookmarkEnd w:id="37"/>
    <w:bookmarkStart w:id="38" w:name="der-tod-als-übergang"/>
    <w:p>
      <w:pPr>
        <w:pStyle w:val="Heading2"/>
      </w:pPr>
      <w:r>
        <w:t xml:space="preserve">Der Tod als Übergang</w:t>
      </w:r>
    </w:p>
    <w:p>
      <w:pPr>
        <w:pStyle w:val="FirstParagraph"/>
      </w:pPr>
      <m:oMathPara>
        <m:oMathParaPr>
          <m:jc m:val="center"/>
        </m:oMathParaPr>
        <m:oMath>
          <m:borderBox>
            <m:e>
              <m:r>
                <m:t>A</m:t>
              </m:r>
              <m:r>
                <m:t>19</m:t>
              </m:r>
              <m:box>
                <m:boxPr>
                  <m:opEmu m:val="on"/>
                </m:boxPr>
                <m:e>
                  <m:r>
                    <m:rPr>
                      <m:sty m:val="p"/>
                    </m:rPr>
                    <m:t>:=</m:t>
                  </m:r>
                </m:e>
              </m:box>
              <m:r>
                <m:rPr>
                  <m:sty m:val="p"/>
                </m:rPr>
                <m:t>∀</m:t>
              </m:r>
              <m:r>
                <m:t>c</m:t>
              </m:r>
              <m:r>
                <m:rPr>
                  <m:sty m:val="p"/>
                </m:rPr>
                <m:t>(</m:t>
              </m:r>
              <m:r>
                <m:rPr>
                  <m:nor/>
                  <m:sty m:val="p"/>
                </m:rPr>
                <m:t>Tod</m:t>
              </m:r>
              <m:r>
                <m:rPr>
                  <m:sty m:val="p"/>
                </m:rPr>
                <m:t>(</m:t>
              </m:r>
              <m:r>
                <m:t>c</m:t>
              </m:r>
              <m:r>
                <m:rPr>
                  <m:sty m:val="p"/>
                </m:rPr>
                <m:t>)</m:t>
              </m:r>
              <m:r>
                <m:rPr>
                  <m:sty m:val="p"/>
                </m:rPr>
                <m:t>→</m:t>
              </m:r>
              <m:r>
                <m:rPr>
                  <m:nor/>
                  <m:sty m:val="p"/>
                </m:rPr>
                <m:t>Integration</m:t>
              </m:r>
              <m:r>
                <m:rPr>
                  <m:sty m:val="p"/>
                </m:rPr>
                <m:t>(</m:t>
              </m:r>
              <m:r>
                <m:t>c</m:t>
              </m:r>
              <m:r>
                <m:rPr>
                  <m:sty m:val="p"/>
                </m:rPr>
                <m:t>,</m:t>
              </m:r>
              <m:r>
                <m:t>S</m:t>
              </m:r>
              <m:r>
                <m:rPr>
                  <m:sty m:val="p"/>
                </m:rPr>
                <m:t>)</m:t>
              </m:r>
              <m:r>
                <m:rPr>
                  <m:sty m:val="p"/>
                </m:rPr>
                <m:t>)</m:t>
              </m:r>
            </m:e>
          </m:borderBox>
        </m:oMath>
      </m:oMathPara>
    </w:p>
    <w:p>
      <w:pPr>
        <w:pStyle w:val="FirstParagraph"/>
      </w:pPr>
      <m:oMathPara>
        <m:oMathParaPr>
          <m:jc m:val="center"/>
        </m:oMathParaPr>
        <m:oMath>
          <m:borderBox>
            <m:e>
              <m:r>
                <m:t>A</m:t>
              </m:r>
              <m:r>
                <m:t>20</m:t>
              </m:r>
              <m:box>
                <m:boxPr>
                  <m:opEmu m:val="on"/>
                </m:boxPr>
                <m:e>
                  <m:r>
                    <m:rPr>
                      <m:sty m:val="p"/>
                    </m:rPr>
                    <m:t>:=</m:t>
                  </m:r>
                </m:e>
              </m:box>
              <m:r>
                <m:rPr>
                  <m:sty m:val="p"/>
                </m:rPr>
                <m:t>∀</m:t>
              </m:r>
              <m:r>
                <m:t>c</m:t>
              </m:r>
              <m:r>
                <m:rPr>
                  <m:sty m:val="p"/>
                </m:rPr>
                <m:t>(</m:t>
              </m:r>
              <m:r>
                <m:rPr>
                  <m:nor/>
                  <m:sty m:val="p"/>
                </m:rPr>
                <m:t>Wissen</m:t>
              </m:r>
              <m:r>
                <m:rPr>
                  <m:sty m:val="p"/>
                </m:rPr>
                <m:t>(</m:t>
              </m:r>
              <m:r>
                <m:t>c</m:t>
              </m:r>
              <m:r>
                <m:rPr>
                  <m:sty m:val="p"/>
                </m:rPr>
                <m:t>,</m:t>
              </m:r>
              <m:r>
                <m:t>S</m:t>
              </m:r>
              <m:r>
                <m:rPr>
                  <m:sty m:val="p"/>
                </m:rPr>
                <m:t>)</m:t>
              </m:r>
              <m:r>
                <m:rPr>
                  <m:sty m:val="p"/>
                </m:rPr>
                <m:t>↔</m:t>
              </m:r>
              <m:r>
                <m:rPr>
                  <m:nor/>
                  <m:sty m:val="p"/>
                </m:rPr>
                <m:t>Existenz</m:t>
              </m:r>
              <m:r>
                <m:rPr>
                  <m:sty m:val="p"/>
                </m:rPr>
                <m:t>(</m:t>
              </m:r>
              <m:r>
                <m:t>c</m:t>
              </m:r>
              <m:r>
                <m:rPr>
                  <m:sty m:val="p"/>
                </m:rPr>
                <m:t>)</m:t>
              </m:r>
              <m:r>
                <m:rPr>
                  <m:sty m:val="p"/>
                </m:rPr>
                <m:t>)</m:t>
              </m:r>
            </m:e>
          </m:borderBox>
        </m:oMath>
      </m:oMathPara>
    </w:p>
    <w:bookmarkEnd w:id="38"/>
    <w:bookmarkStart w:id="39" w:name="theorem-auferstehung"/>
    <w:p>
      <w:pPr>
        <w:pStyle w:val="Heading2"/>
      </w:pPr>
      <w:r>
        <w:t xml:space="preserve">Theorem: Auferstehung</w:t>
      </w:r>
    </w:p>
    <w:p>
      <w:pPr>
        <w:pStyle w:val="FirstParagraph"/>
      </w:pPr>
      <m:oMathPara>
        <m:oMathParaPr>
          <m:jc m:val="center"/>
        </m:oMathParaPr>
        <m:oMath>
          <m:borderBox>
            <m:e>
              <m:r>
                <m:rPr>
                  <m:nor/>
                  <m:sty m:val="p"/>
                </m:rPr>
                <m:t>S5+SP+U</m:t>
              </m:r>
              <m:r>
                <m:t> </m:t>
              </m:r>
              <m:r>
                <m:rPr>
                  <m:sty m:val="p"/>
                </m:rPr>
                <m:t>⊢</m:t>
              </m:r>
              <m:r>
                <m:t> </m:t>
              </m:r>
              <m:r>
                <m:rPr>
                  <m:sty m:val="p"/>
                </m:rPr>
                <m:t>□</m:t>
              </m:r>
              <m:r>
                <m:rPr>
                  <m:sty m:val="p"/>
                </m:rPr>
                <m:t>∀</m:t>
              </m:r>
              <m:r>
                <m:t>c</m:t>
              </m:r>
              <m:r>
                <m:rPr>
                  <m:sty m:val="p"/>
                </m:rPr>
                <m:t>(</m:t>
              </m:r>
              <m:r>
                <m:rPr>
                  <m:nor/>
                  <m:sty m:val="p"/>
                </m:rPr>
                <m:t>Bewusstsein</m:t>
              </m:r>
              <m:r>
                <m:rPr>
                  <m:sty m:val="p"/>
                </m:rPr>
                <m:t>(</m:t>
              </m:r>
              <m:r>
                <m:t>c</m:t>
              </m:r>
              <m:r>
                <m:rPr>
                  <m:sty m:val="p"/>
                </m:rPr>
                <m:t>)</m:t>
              </m:r>
              <m:r>
                <m:rPr>
                  <m:sty m:val="p"/>
                </m:rPr>
                <m:t>→</m:t>
              </m:r>
              <m:r>
                <m:rPr>
                  <m:nor/>
                  <m:sty m:val="p"/>
                </m:rPr>
                <m:t>Auferstehung</m:t>
              </m:r>
              <m:r>
                <m:rPr>
                  <m:sty m:val="p"/>
                </m:rPr>
                <m:t>(</m:t>
              </m:r>
              <m:r>
                <m:t>c</m:t>
              </m:r>
              <m:r>
                <m:rPr>
                  <m:sty m:val="p"/>
                </m:rPr>
                <m:t>)</m:t>
              </m:r>
              <m:r>
                <m:rPr>
                  <m:sty m:val="p"/>
                </m:rPr>
                <m:t>)</m:t>
              </m:r>
            </m:e>
          </m:borderBox>
        </m:oMath>
      </m:oMathPara>
    </w:p>
    <w:p>
      <w:pPr>
        <w:pStyle w:val="FirstParagraph"/>
      </w:pPr>
      <w:r>
        <w:rPr>
          <w:b/>
          <w:bCs/>
        </w:rPr>
        <w:t xml:space="preserve">Interpretation:</w:t>
      </w:r>
      <w:r>
        <w:t xml:space="preserve"> </w:t>
      </w:r>
      <w:r>
        <w:t xml:space="preserve">Die Axiome A16–A20 sind</w:t>
      </w:r>
      <w:r>
        <w:t xml:space="preserve"> </w:t>
      </w:r>
      <w:r>
        <w:rPr>
          <w:b/>
          <w:bCs/>
        </w:rPr>
        <w:t xml:space="preserve">hinreichend</w:t>
      </w:r>
      <w:r>
        <w:t xml:space="preserve">, um Auferstehung als Theorem abzuleiten. Die Frage, ob sie minimal sind oder ob einzelne Axiome verzichtbar sind, bleibt offen.</w:t>
      </w:r>
    </w:p>
    <w:bookmarkEnd w:id="39"/>
    <w:bookmarkEnd w:id="40"/>
    <w:bookmarkStart w:id="44" w:name="X143b694d38f69dedd50bcbbb100849cfad80af6"/>
    <w:p>
      <w:pPr>
        <w:pStyle w:val="Heading1"/>
      </w:pPr>
      <w:r>
        <w:t xml:space="preserve">Hermeneutischer Ausblick: Drei Denkbewegungen als Resonanzraum</w:t>
      </w:r>
    </w:p>
    <w:p>
      <w:pPr>
        <w:pStyle w:val="FirstParagraph"/>
      </w:pPr>
      <w:r>
        <w:t xml:space="preserve">Die folgenden Überlegungen sind</w:t>
      </w:r>
      <w:r>
        <w:t xml:space="preserve"> </w:t>
      </w:r>
      <w:r>
        <w:rPr>
          <w:b/>
          <w:bCs/>
        </w:rPr>
        <w:t xml:space="preserve">nicht Teil des formalen Beweises</w:t>
      </w:r>
      <w:r>
        <w:t xml:space="preserve">, sondern ein hermeneutischer Ausblick, der die Tragweite der formalen Struktur in anderen Kontexten zeigt. Der Leser verlässt hier bewusst die Ebene der formalen Logik und betritt den Raum der Interpretation.</w:t>
      </w:r>
    </w:p>
    <w:p>
      <w:pPr>
        <w:pStyle w:val="BodyText"/>
      </w:pPr>
      <w:r>
        <w:t xml:space="preserve">Die in dieser Abhandlung entwickelte formale Struktur findet ihre existenzielle und poetische Entsprechung in drei eigenständigen Denkbewegungen, die als Resonanzraum für die hier vorgelegten Überlegungen dienen können.</w:t>
      </w:r>
    </w:p>
    <w:bookmarkStart w:id="41" w:name="die-unitarität-des-schmerzes"/>
    <w:p>
      <w:pPr>
        <w:pStyle w:val="Heading2"/>
      </w:pPr>
      <w:r>
        <w:t xml:space="preserve">Die Unitarität des Schmerzes</w:t>
      </w:r>
    </w:p>
    <w:p>
      <w:pPr>
        <w:pStyle w:val="FirstParagraph"/>
      </w:pPr>
      <w:r>
        <w:t xml:space="preserve">Die erste Denkbewegung zeigt, dass Leid nicht sinnlos ist, sondern der Preis für die Differenzierung, die für die Erkenntnis notwendig ist. Die Unitarität des Universums garantiert, dass nichts verloren geht – auch nicht der Schmerz.</w:t>
      </w:r>
    </w:p>
    <w:p>
      <w:pPr>
        <w:pStyle w:val="BlockText"/>
      </w:pPr>
      <w:r>
        <w:rPr>
          <w:b/>
          <w:bCs/>
        </w:rPr>
        <w:t xml:space="preserve">Das Schwarze Loch des Todes wird durch die Auferstehung als Hawking-Strahlung des Sinns transformiert.</w:t>
      </w:r>
    </w:p>
    <w:bookmarkEnd w:id="41"/>
    <w:bookmarkStart w:id="42" w:name="X837c1d55da1f83c6c0a2196ae92ed43a7e894b6"/>
    <w:p>
      <w:pPr>
        <w:pStyle w:val="Heading2"/>
      </w:pPr>
      <w:r>
        <w:t xml:space="preserve">Die Inverse Christologie nach der Evolution</w:t>
      </w:r>
    </w:p>
    <w:p>
      <w:pPr>
        <w:pStyle w:val="FirstParagraph"/>
      </w:pPr>
      <w:r>
        <w:t xml:space="preserve">Die zweite Denkbewegung zeigt, dass Christus nicht der metaphysische Ausgangspunkt, sondern der geschichtliche Kulminationspunkt der Evolution ist. Die Inkarnation ist die Verdichtung des kosmischen Prozesses.</w:t>
      </w:r>
    </w:p>
    <w:p>
      <w:pPr>
        <w:pStyle w:val="BlockText"/>
      </w:pPr>
      <w:r>
        <w:rPr>
          <w:b/>
          <w:bCs/>
        </w:rPr>
        <w:t xml:space="preserve">Die Inkarnation ist die lokale Manifestation der Superposition. Die Auferstehung ist ihre globale Integration in S.</w:t>
      </w:r>
    </w:p>
    <w:bookmarkEnd w:id="42"/>
    <w:bookmarkStart w:id="43" w:name="die-omega-poems"/>
    <w:p>
      <w:pPr>
        <w:pStyle w:val="Heading2"/>
      </w:pPr>
      <w:r>
        <w:t xml:space="preserve">Die Omega Poems</w:t>
      </w:r>
    </w:p>
    <w:p>
      <w:pPr>
        <w:pStyle w:val="FirstParagraph"/>
      </w:pPr>
      <w:r>
        <w:t xml:space="preserve">Die dritte Denkbewegung ist eine lyrische Annäherung an den Grenzwert. Sie zeigt, dass die formale Struktur der Trinität nicht nur abstrakt ist, sondern in der Sprache der Poesie lebendig wird.</w:t>
      </w:r>
    </w:p>
    <w:p>
      <w:pPr>
        <w:pStyle w:val="BlockText"/>
      </w:pPr>
      <w:r>
        <w:rPr>
          <w:b/>
          <w:bCs/>
        </w:rPr>
        <w:t xml:space="preserve">Die Poesie des Omegapunktes ist die Sprache der Allwissenheit, die alle Bewusstseine in sich vereint.</w:t>
      </w:r>
    </w:p>
    <w:bookmarkEnd w:id="43"/>
    <w:bookmarkEnd w:id="44"/>
    <w:bookmarkStart w:id="45" w:name="schluss-was-wurde-gezeigt"/>
    <w:p>
      <w:pPr>
        <w:pStyle w:val="Heading1"/>
      </w:pPr>
      <w:r>
        <w:t xml:space="preserve">Schluss: Was wurde gezeigt?</w:t>
      </w:r>
    </w:p>
    <w:p>
      <w:pPr>
        <w:pStyle w:val="FirstParagraph"/>
      </w:pPr>
      <w:r>
        <w:t xml:space="preserve">Die vorliegende Untersuchung hat gezeigt:</w:t>
      </w:r>
    </w:p>
    <w:p>
      <w:pPr>
        <w:numPr>
          <w:ilvl w:val="0"/>
          <w:numId w:val="1006"/>
        </w:numPr>
      </w:pPr>
      <w:r>
        <w:t xml:space="preserve">Die Trinitätsstruktur ist in</w:t>
      </w:r>
      <w:r>
        <w:t xml:space="preserve"> </w:t>
      </w:r>
      <w:r>
        <w:rPr>
          <w:b/>
          <w:bCs/>
        </w:rPr>
        <w:t xml:space="preserve">reinem S5 nicht ableitbar</w:t>
      </w:r>
      <w:r>
        <w:t xml:space="preserve"> </w:t>
      </w:r>
      <w:r>
        <w:t xml:space="preserve">(Teil I). Dies ist der eigentliche metalogische Befund – ein Unabhängigkeitsresultat.</w:t>
      </w:r>
    </w:p>
    <w:p>
      <w:pPr>
        <w:numPr>
          <w:ilvl w:val="0"/>
          <w:numId w:val="1006"/>
        </w:numPr>
      </w:pPr>
      <w:r>
        <w:t xml:space="preserve">Die Superpositions-Axiome ASP1–ASP5 sind</w:t>
      </w:r>
      <w:r>
        <w:t xml:space="preserve"> </w:t>
      </w:r>
      <w:r>
        <w:rPr>
          <w:b/>
          <w:bCs/>
        </w:rPr>
        <w:t xml:space="preserve">hinreichend</w:t>
      </w:r>
      <w:r>
        <w:t xml:space="preserve">, um die Trinität abzuleiten (Teil II). Die Frage ihrer Minimalität bleibt offen.</w:t>
      </w:r>
    </w:p>
    <w:p>
      <w:pPr>
        <w:numPr>
          <w:ilvl w:val="0"/>
          <w:numId w:val="1006"/>
        </w:numPr>
      </w:pPr>
      <w:r>
        <w:t xml:space="preserve">Die Axiome A16–A20 sind</w:t>
      </w:r>
      <w:r>
        <w:t xml:space="preserve"> </w:t>
      </w:r>
      <w:r>
        <w:rPr>
          <w:b/>
          <w:bCs/>
        </w:rPr>
        <w:t xml:space="preserve">hinreichend</w:t>
      </w:r>
      <w:r>
        <w:t xml:space="preserve">, um Unitarität und Auferstehung als Theoreme abzuleiten (Teil III). Auch hier bleibt die Minimalitätsfrage offen.</w:t>
      </w:r>
    </w:p>
    <w:p>
      <w:pPr>
        <w:pStyle w:val="BlockText"/>
      </w:pPr>
      <w:r>
        <w:rPr>
          <w:b/>
          <w:bCs/>
        </w:rPr>
        <w:t xml:space="preserve">Die zentrale Aussage dieser Arbeit lautet nicht: "Die Trinität existiert." Sondern: "Die Untersuchung bestimmt eine hinreichende metaphysische Zusatzstruktur, aus der die Trinitätsstruktur folgt. Die Frage nach ihrer Minimalität bleibt offen."</w:t>
      </w:r>
    </w:p>
    <w:p>
      <w:pPr>
        <w:pStyle w:val="FirstParagraph"/>
      </w:pPr>
      <w:r>
        <w:t xml:space="preserve">Die Arbeit ist damit keine ontologische Behauptung, sondern eine</w:t>
      </w:r>
      <w:r>
        <w:t xml:space="preserve"> </w:t>
      </w:r>
      <w:r>
        <w:rPr>
          <w:b/>
          <w:bCs/>
        </w:rPr>
        <w:t xml:space="preserve">metalogische Untersuchung über die Abhängigkeit einer Struktur von einer Axiomatik</w:t>
      </w:r>
      <w:r>
        <w:t xml:space="preserve">. Sie zeigt eine hinreichende Erweiterung der Axiomatik, unter der die Trinitätsstruktur folgt. Ob diese Erweiterung minimal oder eindeutig ist, bleibt offen.</w:t>
      </w:r>
    </w:p>
    <w:p>
      <w:pPr>
        <w:pStyle w:val="BodyText"/>
      </w:pPr>
      <w:r>
        <w:t xml:space="preserve">Die Arbeit zeigt, dass die Trinitätsstruktur keine willkürliche metaphysische Behauptung ist, sondern eine</w:t>
      </w:r>
      <w:r>
        <w:t xml:space="preserve"> </w:t>
      </w:r>
      <w:r>
        <w:rPr>
          <w:b/>
          <w:bCs/>
        </w:rPr>
        <w:t xml:space="preserve">Konsequenz</w:t>
      </w:r>
      <w:r>
        <w:t xml:space="preserve"> </w:t>
      </w:r>
      <w:r>
        <w:t xml:space="preserve">bestimmter axiomatischer Entscheidungen. Sie macht damit die Struktur</w:t>
      </w:r>
      <w:r>
        <w:t xml:space="preserve"> </w:t>
      </w:r>
      <w:r>
        <w:rPr>
          <w:b/>
          <w:bCs/>
        </w:rPr>
        <w:t xml:space="preserve">überprüfbar</w:t>
      </w:r>
      <w:r>
        <w:t xml:space="preserve"> </w:t>
      </w:r>
      <w:r>
        <w:t xml:space="preserve">und</w:t>
      </w:r>
      <w:r>
        <w:t xml:space="preserve"> </w:t>
      </w:r>
      <w:r>
        <w:rPr>
          <w:b/>
          <w:bCs/>
        </w:rPr>
        <w:t xml:space="preserve">diskutierbar</w:t>
      </w:r>
      <w:r>
        <w:t xml:space="preserve"> </w:t>
      </w:r>
      <w:r>
        <w:t xml:space="preserve">– unabhängig von theologischen Voraussetzungen. Die Frage, ob die hier vorgeschlagenen Axiome minimal sind oder ob sie sich reduzieren lassen, bleibt für zukünftige Untersuchungen offen. Ebenso offen bleibt die Frage, wie diese Strukturen physikalisch realisiert oder theologisch gedeutet werden könnten – dies ist Sache der Physik und der Hermeneutik, nicht der Logik.</w:t>
      </w:r>
    </w:p>
    <w:p>
      <w:pPr>
        <w:pStyle w:val="BodyText"/>
      </w:pPr>
      <w:r>
        <w:rPr>
          <w:i/>
          <w:iCs/>
        </w:rPr>
        <w:t xml:space="preserve">Diese Abhandlung wurde im Geiste strenger Modallogik verfasst, jedoch in der Sprache der Philosophie – denn die Wahrheit bedarf beider: der Präzision der Formel und der Weite des Begriffs.</w:t>
      </w:r>
    </w:p>
    <w:bookmarkEnd w:id="4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modal5</dc:title>
  <dc:creator>Paul Koop</dc:creator>
  <dc:language>de</dc:language>
  <cp:keywords/>
  <dcterms:created xsi:type="dcterms:W3CDTF">2026-07-28T16:05:58Z</dcterms:created>
  <dcterms:modified xsi:type="dcterms:W3CDTF">2026-07-28T16:05:58Z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