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Die Trinitätsstruktur als Konsequenz einer reflexiven Superpositionsontologie</w:t>
      </w:r>
      <w:r>
        <w:br/>
      </w:r>
      <w:r>
        <w:t xml:space="preserve">Modul 7 – Formal kontrollierte Fassung</w:t>
      </w:r>
    </w:p>
    <w:p>
      <w:pPr>
        <w:pStyle w:val="Author"/>
      </w:pPr>
      <w:r>
        <w:t xml:space="preserve">Paul Koop</w:t>
      </w:r>
    </w:p>
    <w:p>
      <w:pPr>
        <w:pStyle w:val="FirstParagraph"/>
      </w:pPr>
      <w:r>
        <w:rPr>
          <w:i/>
          <w:iCs/>
        </w:rPr>
        <w:t xml:space="preserve">Vergangenheit und Zukunft sind Horizonte des Wissens.</w:t>
      </w:r>
      <w:r>
        <w:br/>
      </w:r>
      <w:r>
        <w:rPr>
          <w:i/>
          <w:iCs/>
        </w:rPr>
        <w:t xml:space="preserve">Die Gegenwart ist der Ort der Wirklichkeit.</w:t>
      </w:r>
      <w:r>
        <w:br/>
      </w:r>
      <w:r>
        <w:rPr>
          <w:i/>
          <w:iCs/>
        </w:rPr>
        <w:t xml:space="preserve">Nichts, was war, geht verloren.</w:t>
      </w:r>
    </w:p>
    <w:p>
      <w:pPr>
        <w:pStyle w:val="BodyText"/>
      </w:pPr>
      <w:r>
        <w:t xml:space="preserve"> </w:t>
      </w:r>
    </w:p>
    <w:bookmarkStart w:id="9" w:name="Xc54cad74d195a42934fefc1fb60210b99b8d90d"/>
    <w:p>
      <w:pPr>
        <w:pStyle w:val="Heading1"/>
      </w:pPr>
      <w:r>
        <w:t xml:space="preserve">Vorwort: Überwindung der Vorgängerversionen</w:t>
      </w:r>
    </w:p>
    <w:p>
      <w:pPr>
        <w:pStyle w:val="FirstParagraph"/>
      </w:pPr>
      <w:r>
        <w:t xml:space="preserve">Dieses Modul überwindet zwei Schwächen der Vorgängerversionen:</w:t>
      </w:r>
    </w:p>
    <w:p>
      <w:pPr>
        <w:pStyle w:val="BodyText"/>
      </w:pPr>
      <w:r>
        <w:rPr>
          <w:b/>
          <w:bCs/>
        </w:rPr>
        <w:t xml:space="preserve">Text 5</w:t>
      </w:r>
      <w:r>
        <w:t xml:space="preserve"> </w:t>
      </w:r>
      <w:r>
        <w:t xml:space="preserve">zeigte, dass die Trinitätsformel in reinem S5 nicht ableitbar ist und durch Superpositionsaxiome erzwungen werden kann. Doch die Axiome waren teilweise informell notiert und enthielten entbehrliche Bestandteile.</w:t>
      </w:r>
    </w:p>
    <w:p>
      <w:pPr>
        <w:pStyle w:val="BodyText"/>
      </w:pPr>
      <w:r>
        <w:rPr>
          <w:b/>
          <w:bCs/>
        </w:rPr>
        <w:t xml:space="preserve">Text 6</w:t>
      </w:r>
      <w:r>
        <w:t xml:space="preserve"> </w:t>
      </w:r>
      <w:r>
        <w:t xml:space="preserve">versuchte, die Trinität aus einer zugrunde liegenden Wirklichkeitsstruktur abzuleiten. Doch die Sprache war mengentheoretisch und nicht prädikatenlogisch erster Stufe.</w:t>
      </w:r>
    </w:p>
    <w:p>
      <w:pPr>
        <w:pStyle w:val="BodyText"/>
      </w:pPr>
      <w:r>
        <w:rPr>
          <w:b/>
          <w:bCs/>
        </w:rPr>
        <w:t xml:space="preserve">Modul 7</w:t>
      </w:r>
      <w:r>
        <w:t xml:space="preserve"> </w:t>
      </w:r>
      <w:r>
        <w:t xml:space="preserve">verwendet eine saubere prädikatenlogische Sprache erster Stufe mit Modalität S5, eine feste Signatur und ein vollständig regelbasiertes Beweisprotokoll.</w:t>
      </w:r>
    </w:p>
    <w:bookmarkEnd w:id="9"/>
    <w:bookmarkStart w:id="13" w:name="formale-sprache"/>
    <w:p>
      <w:pPr>
        <w:pStyle w:val="Heading1"/>
      </w:pPr>
      <w:r>
        <w:t xml:space="preserve">Formale Sprache</w:t>
      </w:r>
    </w:p>
    <w:bookmarkStart w:id="10" w:name="signatur"/>
    <w:p>
      <w:pPr>
        <w:pStyle w:val="Heading2"/>
      </w:pPr>
      <w:r>
        <w:t xml:space="preserve">Signatur</w:t>
      </w:r>
    </w:p>
    <w:p>
      <w:pPr>
        <w:pStyle w:val="FirstParagraph"/>
      </w:pPr>
      <w:r>
        <w:rPr>
          <w:b/>
          <w:bCs/>
        </w:rPr>
        <w:t xml:space="preserve">Einstellige Prädikate:</w:t>
      </w:r>
    </w:p>
    <w:p>
      <w:pPr>
        <w:pStyle w:val="BodyText"/>
      </w:pPr>
      <m:oMathPara>
        <m:oMathParaPr>
          <m:jc m:val="center"/>
        </m:oMathParaPr>
        <m:oMath>
          <m:r>
            <m:t>U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T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S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t>W</m:t>
          </m:r>
          <m:r>
            <m:t>e</m:t>
          </m:r>
          <m:r>
            <m:t>l</m:t>
          </m:r>
          <m:r>
            <m:t>t</m:t>
          </m:r>
          <m:r>
            <m:rPr>
              <m:sty m:val="p"/>
            </m:rPr>
            <m:t>(</m:t>
          </m:r>
          <m:r>
            <m:t>w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Zweistellige Relation:</w:t>
      </w:r>
    </w:p>
    <w:p>
      <w:pPr>
        <w:pStyle w:val="BodyText"/>
      </w:pPr>
      <m:oMathPara>
        <m:oMathParaPr>
          <m:jc m:val="center"/>
        </m:oMathParaPr>
        <m:oMath>
          <m:r>
            <m:t>R</m:t>
          </m:r>
          <m:r>
            <m:rPr>
              <m:sty m:val="p"/>
            </m:rPr>
            <m:t>(</m:t>
          </m:r>
          <m:r>
            <m:t>w</m:t>
          </m:r>
          <m:r>
            <m:rPr>
              <m:sty m:val="p"/>
            </m:rPr>
            <m:t>,</m:t>
          </m:r>
          <m:r>
            <m:t>v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Konstante: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t>0</m:t>
              </m:r>
            </m:sub>
          </m:sSub>
        </m:oMath>
      </m:oMathPara>
    </w:p>
    <w:bookmarkEnd w:id="10"/>
    <w:bookmarkStart w:id="11" w:name="definitionen"/>
    <w:p>
      <w:pPr>
        <w:pStyle w:val="Heading2"/>
      </w:pPr>
      <w:r>
        <w:t xml:space="preserve">Definitionen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u</m:t>
              </m:r>
              <m:r>
                <m:t>p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w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e>
          </m:borderBox>
        </m:oMath>
      </m:oMathPara>
    </w:p>
    <w:bookmarkEnd w:id="11"/>
    <w:bookmarkStart w:id="12" w:name="modallogik-s5"/>
    <w:p>
      <w:pPr>
        <w:pStyle w:val="Heading2"/>
      </w:pPr>
      <w:r>
        <w:t xml:space="preserve">Modallogik S5</w:t>
      </w:r>
    </w:p>
    <w:p>
      <w:pPr>
        <w:pStyle w:val="FirstParagraph"/>
      </w:pPr>
      <w:r>
        <w:t xml:space="preserve">Wir arbeiten in der Modallogik erster Stufe mit Identität im System S5: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Notwendigkeit: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1"/>
        </w:numPr>
      </w:pPr>
      <w:r>
        <w:rPr>
          <w:b/>
          <w:bCs/>
        </w:rPr>
        <w:t xml:space="preserve">Möglichkeit: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Axiome von S5:</w:t>
      </w:r>
    </w:p>
    <w:p>
      <w:pPr>
        <w:numPr>
          <w:ilvl w:val="0"/>
          <w:numId w:val="1002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2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2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2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Inferenzregeln: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Aus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und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 </w:t>
      </w:r>
      <w:r>
        <w:t xml:space="preserve">folgt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Aus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(ableitbar) folgt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bookmarkEnd w:id="12"/>
    <w:bookmarkEnd w:id="13"/>
    <w:bookmarkStart w:id="14" w:name="basisaxiome"/>
    <w:p>
      <w:pPr>
        <w:pStyle w:val="Heading1"/>
      </w:pPr>
      <w:r>
        <w:t xml:space="preserve">Basisaxiome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e</m:t>
              </m:r>
              <m:r>
                <m:t>l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4"/>
    <w:bookmarkStart w:id="15" w:name="superpositionsaxiome-bereinigt"/>
    <w:p>
      <w:pPr>
        <w:pStyle w:val="Heading1"/>
      </w:pPr>
      <w:r>
        <w:t xml:space="preserve">Superpositionsaxiome – bereinigt</w:t>
      </w:r>
    </w:p>
    <w:p>
      <w:pPr>
        <w:pStyle w:val="FirstParagraph"/>
      </w:pPr>
      <w:r>
        <w:t xml:space="preserve">Die Superposition ist die ausgezeichnete Welt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t>v</m:t>
              </m:r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P</m:t>
              </m:r>
              <m:r>
                <m:t>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5"/>
    <w:bookmarkStart w:id="18" w:name="Xa4085e7944f3c6aba97edcbb6b285e46e496ec1"/>
    <w:p>
      <w:pPr>
        <w:pStyle w:val="Heading1"/>
      </w:pPr>
      <w:r>
        <w:t xml:space="preserve">Teil I – Formale Herleitung von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 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</w:p>
    <w:bookmarkStart w:id="16" w:name="semantischer-beweis"/>
    <w:p>
      <w:pPr>
        <w:pStyle w:val="Heading2"/>
      </w:pPr>
      <w:r>
        <w:t xml:space="preserve">Semantischer Beweis</w:t>
      </w:r>
    </w:p>
    <w:p>
      <w:pPr>
        <w:pStyle w:val="FirstParagraph"/>
      </w:pPr>
      <w:r>
        <w:t xml:space="preserve">Sei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,</m:t>
        </m:r>
        <m:r>
          <m:t>V</m:t>
        </m:r>
        <m:r>
          <m:rPr>
            <m:sty m:val="p"/>
          </m:rPr>
          <m:t>)</m:t>
        </m:r>
      </m:oMath>
      <w:r>
        <w:t xml:space="preserve"> </w:t>
      </w:r>
      <w:r>
        <w:t xml:space="preserve">ein S5-Modell, das die Axiome erfüllt.</w:t>
      </w:r>
    </w:p>
    <w:p>
      <w:pPr>
        <w:pStyle w:val="BodyText"/>
      </w:pPr>
      <w:r>
        <w:t xml:space="preserve">Sei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 </w:t>
      </w:r>
      <w:r>
        <w:t xml:space="preserve">beliebig.</w:t>
      </w:r>
    </w:p>
    <w:p>
      <w:pPr>
        <w:pStyle w:val="BodyText"/>
      </w:pPr>
      <w:r>
        <w:rPr>
          <w:b/>
          <w:bCs/>
        </w:rPr>
        <w:t xml:space="preserve">Fall 1: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sSub>
          <m:e>
            <m:r>
              <m:t>w</m:t>
            </m:r>
          </m:e>
          <m:sub>
            <m:r>
              <m:t>0</m:t>
            </m:r>
          </m:sub>
        </m:sSub>
      </m:oMath>
    </w:p>
    <w:p>
      <w:pPr>
        <w:pStyle w:val="BodyText"/>
      </w:pPr>
      <w:r>
        <w:t xml:space="preserve">Aus SP1 folgt: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rPr>
          <w:b/>
          <w:bCs/>
        </w:rPr>
        <w:t xml:space="preserve">Fall 2:</w:t>
      </w:r>
      <w:r>
        <w:t xml:space="preserve"> </w:t>
      </w:r>
      <m:oMath>
        <m:r>
          <m:t>w</m:t>
        </m:r>
        <m:r>
          <m:rPr>
            <m:sty m:val="p"/>
          </m:rPr>
          <m:t>≠</m:t>
        </m:r>
        <m:sSub>
          <m:e>
            <m:r>
              <m:t>w</m:t>
            </m:r>
          </m:e>
          <m:sub>
            <m:r>
              <m:t>0</m:t>
            </m:r>
          </m:sub>
        </m:sSub>
      </m:oMath>
    </w:p>
    <w:p>
      <w:pPr>
        <w:pStyle w:val="BodyText"/>
      </w:pPr>
      <w:r>
        <w:t xml:space="preserve">Aus SP3 folgt: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t>0</m:t>
              </m:r>
            </m:sub>
          </m:sSub>
          <m:r>
            <m:t>R</m:t>
          </m:r>
          <m:r>
            <m:t>w</m:t>
          </m:r>
        </m:oMath>
      </m:oMathPara>
    </w:p>
    <w:p>
      <w:pPr>
        <w:pStyle w:val="FirstParagraph"/>
      </w:pPr>
      <w:r>
        <w:t xml:space="preserve">Aus SP2 folgt: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Also gilt in beiden Fällen: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Da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beliebig war: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∀</m:t>
          </m:r>
          <m:r>
            <m:t>w</m:t>
          </m:r>
          <m:r>
            <m:rPr>
              <m:sty m:val="p"/>
            </m:rPr>
            <m:t>∈</m:t>
          </m:r>
          <m:r>
            <m:t>W</m:t>
          </m:r>
          <m:r>
            <m:rPr>
              <m:sty m:val="p"/>
            </m:rPr>
            <m:t>:</m:t>
          </m:r>
          <m:r>
            <m:t>w</m:t>
          </m:r>
          <m:r>
            <m:rPr>
              <m:sty m:val="p"/>
            </m:rPr>
            <m:t>⊩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Also: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rPr>
              <m:sty m:val="p"/>
            </m:rPr>
            <m:t>⊩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q.e.d.</w:t>
      </w:r>
    </w:p>
    <w:bookmarkEnd w:id="16"/>
    <w:bookmarkStart w:id="17" w:name="X6edbbd4f3560748761b14759e670d677186f0e4"/>
    <w:p>
      <w:pPr>
        <w:pStyle w:val="Heading2"/>
      </w:pPr>
      <w:r>
        <w:t xml:space="preserve">Syntaktischer Beweis im Natürlichen Schließen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Zeile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Formel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Regel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Prämissen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t>v</m:t>
              </m:r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SP3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=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Wiederholung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⊩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t>R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Reflexivität S5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⊩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2, 7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⊩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</m:oMath>
            <w:r>
              <w:t xml:space="preserve">-Einführung (S5)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6, 9</w:t>
            </w:r>
          </w:p>
        </w:tc>
      </w:tr>
    </w:tbl>
    <w:bookmarkEnd w:id="17"/>
    <w:bookmarkEnd w:id="18"/>
    <w:bookmarkStart w:id="22" w:name="teil-ii-eschatologische-erweiterung"/>
    <w:p>
      <w:pPr>
        <w:pStyle w:val="Heading1"/>
      </w:pPr>
      <w:r>
        <w:t xml:space="preserve">Teil II – Eschatologische Erweiterung</w:t>
      </w:r>
    </w:p>
    <w:bookmarkStart w:id="19" w:name="zusätzliche-axiome"/>
    <w:p>
      <w:pPr>
        <w:pStyle w:val="Heading2"/>
      </w:pPr>
      <w:r>
        <w:t xml:space="preserve">Zusätzliche Axiome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16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17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18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l</m:t>
              </m:r>
              <m:r>
                <m:t>t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19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20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19"/>
    <w:bookmarkStart w:id="20" w:name="definition-von-auferstehung"/>
    <w:p>
      <w:pPr>
        <w:pStyle w:val="Heading2"/>
      </w:pPr>
      <w:r>
        <w:t xml:space="preserve">Definition von Auferstehung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↔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0"/>
    <w:bookmarkStart w:id="21" w:name="beweis"/>
    <w:p>
      <w:pPr>
        <w:pStyle w:val="Heading2"/>
      </w:pPr>
      <w:r>
        <w:t xml:space="preserve">Beweis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Zeile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Formel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Regel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Prämissen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Annahme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↔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i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↔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-Elimination A19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Annahme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-Elimination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10, 11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E</m:t>
              </m:r>
              <m:r>
                <m:t>x</m:t>
              </m:r>
              <m:r>
                <m:t>i</m:t>
              </m:r>
              <m:r>
                <m:t>s</m:t>
              </m:r>
              <m:r>
                <m:t>t</m:t>
              </m:r>
              <m:r>
                <m:t>e</m:t>
              </m:r>
              <m:r>
                <m:t>n</m:t>
              </m:r>
              <m:r>
                <m:t>z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∧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9, 11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Definition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11–14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→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1–15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∀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□</m:t>
              </m:r>
            </m:oMath>
            <w:r>
              <w:t xml:space="preserve">-Einführung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</w:tbl>
    <w:bookmarkEnd w:id="21"/>
    <w:bookmarkEnd w:id="22"/>
    <w:bookmarkStart w:id="23" w:name="ergebnis"/>
    <w:p>
      <w:pPr>
        <w:pStyle w:val="Heading1"/>
      </w:pPr>
      <w:r>
        <w:t xml:space="preserve">Ergebnis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P</m:t>
              </m:r>
              <m:r>
                <m:rPr>
                  <m:sty m:val="p"/>
                </m:rPr>
                <m:t>⊢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P</m:t>
              </m:r>
              <m:r>
                <m:rPr>
                  <m:sty m:val="p"/>
                </m:rPr>
                <m:t>+</m:t>
              </m:r>
              <m:r>
                <m:t>U</m:t>
              </m:r>
              <m:r>
                <m:rPr>
                  <m:sty m:val="p"/>
                </m:rPr>
                <m:t>⊢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A</m:t>
              </m:r>
              <m:r>
                <m:t>u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e</m:t>
              </m:r>
              <m:r>
                <m:t>h</m:t>
              </m:r>
              <m:r>
                <m:t>u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3"/>
    <w:bookmarkStart w:id="24" w:name="metalogische-einordnung"/>
    <w:p>
      <w:pPr>
        <w:pStyle w:val="Heading1"/>
      </w:pPr>
      <w:r>
        <w:t xml:space="preserve">Metalogische Einordnung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Aussage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Trinität folgt aus 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formal bewiesen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Auferstehung folgt aus S5+SP+U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formal bewiesen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Widerspruchsfreiheit von 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durch Modellkonstruktion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Minimalität von 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✓</m:t>
              </m:r>
            </m:oMath>
            <w:r>
              <w:t xml:space="preserve"> </w:t>
            </w:r>
            <w:r>
              <w:t xml:space="preserve">SP1, SP2, SP3 hinreichend</w:t>
            </w:r>
          </w:p>
        </w:tc>
      </w:tr>
    </w:tbl>
    <w:p>
      <w:pPr>
        <w:pStyle w:val="BodyText"/>
      </w:pPr>
      <w:r>
        <w:rPr>
          <w:i/>
          <w:iCs/>
        </w:rPr>
        <w:t xml:space="preserve">Diese Abhandlung wurde im Geiste strenger Modallogik verfasst, jedoch in der Sprache der Philosophie – denn die Wahrheit bedarf beider: der Präzision der Formel und der Weite des Begriffs.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Trinitätsstruktur als Konsequenz einer reflexiven Superpositionsontologie Modul 7 – Formal kontrollierte Fassung</dc:title>
  <dc:creator>Paul Koop</dc:creator>
  <cp:keywords/>
  <dcterms:created xsi:type="dcterms:W3CDTF">2026-08-25T12:59:26Z</dcterms:created>
  <dcterms:modified xsi:type="dcterms:W3CDTF">2026-08-25T12:59:26Z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