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Modul 6: Die Strukturanalyse einer monistischen Modalontologie</w:t>
      </w:r>
      <w:r>
        <w:br/>
      </w:r>
      <w:r>
        <w:t xml:space="preserve">Von der konstruktiven Axiomatik zur strukturellen Emergenz</w:t>
      </w:r>
    </w:p>
    <w:p>
      <w:pPr>
        <w:pStyle w:val="Author"/>
      </w:pPr>
      <w:r>
        <w:t xml:space="preserve">Paul Koop</w:t>
      </w:r>
    </w:p>
    <w:p>
      <w:pPr>
        <w:pStyle w:val="Date"/>
      </w:pPr>
      <w:r>
        <w:t xml:space="preserve">2026-08-24</w:t>
      </w:r>
    </w:p>
    <w:p>
      <w:pPr>
        <w:pStyle w:val="AbstractTitle"/>
      </w:pPr>
      <w:r>
        <w:t xml:space="preserve">Abstract</w:t>
      </w:r>
    </w:p>
    <w:p>
      <w:pPr>
        <w:pStyle w:val="Abstract"/>
      </w:pPr>
      <w:r>
        <w:t xml:space="preserve">Dieses Modul stellt den nächsten Schritt über die konstruktive Axiomatik der Versionen 1–5 dar. Statt zu fragen,</w:t>
      </w:r>
      <w:r>
        <w:t xml:space="preserve"> </w:t>
      </w:r>
      <w:r>
        <w:rPr>
          <w:i/>
          <w:iCs/>
        </w:rPr>
        <w:t xml:space="preserve">welche Axiome hinzugefügt werden müssen</w:t>
      </w:r>
      <w:r>
        <w:t xml:space="preserve">, um eine trinitarische Struktur zu erhalten, fragen wir:</w:t>
      </w:r>
      <w:r>
        <w:t xml:space="preserve"> </w:t>
      </w:r>
      <w:r>
        <w:rPr>
          <w:i/>
          <w:iCs/>
        </w:rPr>
        <w:t xml:space="preserve">Welche minimalen strukturellen Bedingungen muss eine monistische Modalontologie erfüllen, damit die drei Rollen von Ursprung (U), Totalität (T) und Selbsterkenntnis (S) als notwendige Perspektiven ein und derselben Wirklichkeit emergieren?</w:t>
      </w:r>
      <w:r>
        <w:t xml:space="preserve"> </w:t>
      </w:r>
      <w:r>
        <w:t xml:space="preserve">Wir zeigen, dass aus den Prinzipien des Monismus, der modal-realistischen Möglichkeit und der reflexiven Selbstbezüglichkeit die drei Strukturmomente U, T und S nicht bloß postuliert, sondern als strukturell unterschieden und doch untrennbar abgeleitet werden können.</w:t>
      </w:r>
    </w:p>
    <w:bookmarkStart w:id="9" w:name="X97035ac808b46754ca84cfd4a5d8604835e8caa"/>
    <w:p>
      <w:pPr>
        <w:pStyle w:val="Heading1"/>
      </w:pPr>
      <w:r>
        <w:t xml:space="preserve">Einleitung: Von der Konstruktion zur Struktur</w:t>
      </w:r>
    </w:p>
    <w:p>
      <w:pPr>
        <w:pStyle w:val="FirstParagraph"/>
      </w:pPr>
      <w:r>
        <w:t xml:space="preserve">Die Versionen 1 bis 5 haben gezeigt, dass die trinitarische Struktur (U, T, S) in einem erweiterten modallogischen System (S5+SP) ableitbar ist. Dies war ein konstruktiver Beweis: Bestimmte Axiome wurden hinzugefügt, um das gewünschte Ergebnis zu erhalten.</w:t>
      </w:r>
    </w:p>
    <w:p>
      <w:pPr>
        <w:pStyle w:val="BodyText"/>
      </w:pPr>
      <w:r>
        <w:t xml:space="preserve">Modul 6 wendet die Perspektive. Wir fragen nicht mehr:</w:t>
      </w:r>
    </w:p>
    <w:p>
      <w:pPr>
        <w:pStyle w:val="BlockText"/>
      </w:pPr>
      <w:r>
        <w:rPr>
          <w:i/>
          <w:iCs/>
        </w:rPr>
        <w:t xml:space="preserve">„Was muss ich zu S5 hinzufügen, um Trinität zu bekommen?“</w:t>
      </w:r>
    </w:p>
    <w:p>
      <w:pPr>
        <w:pStyle w:val="FirstParagraph"/>
      </w:pPr>
      <w:r>
        <w:t xml:space="preserve">sondern:</w:t>
      </w:r>
    </w:p>
    <w:p>
      <w:pPr>
        <w:pStyle w:val="BlockText"/>
      </w:pPr>
      <w:r>
        <w:rPr>
          <w:i/>
          <w:iCs/>
        </w:rPr>
        <w:t xml:space="preserve">„Welche Struktur muss eine monistische Wirklichkeit bereits besitzen, damit aus ihr selbst die drei Momente von Ursprung, Totalität und Selbsterkenntnis als notwendige Perspektiven hervorgehen?“</w:t>
      </w:r>
    </w:p>
    <w:p>
      <w:pPr>
        <w:pStyle w:val="FirstParagraph"/>
      </w:pPr>
      <w:r>
        <w:t xml:space="preserve">Diese Verschiebung von der</w:t>
      </w:r>
      <w:r>
        <w:t xml:space="preserve"> </w:t>
      </w:r>
      <w:r>
        <w:rPr>
          <w:b/>
          <w:bCs/>
        </w:rPr>
        <w:t xml:space="preserve">Konstruktion</w:t>
      </w:r>
      <w:r>
        <w:t xml:space="preserve"> </w:t>
      </w:r>
      <w:r>
        <w:t xml:space="preserve">zur</w:t>
      </w:r>
      <w:r>
        <w:t xml:space="preserve"> </w:t>
      </w:r>
      <w:r>
        <w:rPr>
          <w:b/>
          <w:bCs/>
        </w:rPr>
        <w:t xml:space="preserve">Strukturanalyse</w:t>
      </w:r>
      <w:r>
        <w:t xml:space="preserve"> </w:t>
      </w:r>
      <w:r>
        <w:t xml:space="preserve">ist das Herzstück von Modul 6. Wir werden zeigen, dass die drei Rollen nicht als separate Entitäten eingeführt werden müssen, sondern als unterschiedliche</w:t>
      </w:r>
      <w:r>
        <w:t xml:space="preserve"> </w:t>
      </w:r>
      <w:r>
        <w:rPr>
          <w:i/>
          <w:iCs/>
        </w:rPr>
        <w:t xml:space="preserve">strukturelle Momente</w:t>
      </w:r>
      <w:r>
        <w:t xml:space="preserve"> </w:t>
      </w:r>
      <w:r>
        <w:t xml:space="preserve">ein und derselben Wirklichkeit verstanden werden können – Momente, die durch die interne Dynamik von Modalität und Reflexivität erzwungen werden.</w:t>
      </w:r>
    </w:p>
    <w:bookmarkEnd w:id="9"/>
    <w:bookmarkStart w:id="13" w:name="die-grundlegenden-prinzipien"/>
    <w:p>
      <w:pPr>
        <w:pStyle w:val="Heading1"/>
      </w:pPr>
      <w:r>
        <w:t xml:space="preserve">Die grundlegenden Prinzipien</w:t>
      </w:r>
    </w:p>
    <w:p>
      <w:pPr>
        <w:pStyle w:val="FirstParagraph"/>
      </w:pPr>
      <w:r>
        <w:t xml:space="preserve">Wir gehen von drei Prinzipien aus, die schwächer sind als die Axiome der vorherigen Versionen, aber dennoch ausreichend stark, um die gewünschte Struktur zu erzwingen.</w:t>
      </w:r>
    </w:p>
    <w:bookmarkStart w:id="10" w:name="ax:monism"/>
    <w:p>
      <w:pPr>
        <w:pStyle w:val="BodyText"/>
      </w:pPr>
      <w:r>
        <w:rPr>
          <w:b/>
          <w:bCs/>
        </w:rPr>
        <w:t xml:space="preserve">Axiom 1</w:t>
      </w:r>
      <w:r>
        <w:t xml:space="preserve"> </w:t>
      </w:r>
      <w:r>
        <w:t xml:space="preserve">(Monismus (M)).</w:t>
      </w:r>
      <w:r>
        <w:t xml:space="preserve"> </w:t>
      </w:r>
      <w:r>
        <w:t xml:space="preserve"> </w:t>
      </w:r>
      <w:r>
        <w:rPr>
          <w:i/>
          <w:iCs/>
        </w:rPr>
        <w:t xml:space="preserve">Es gibt keine fundamental getrennten Wirklichkeitsbereiche. Es existiert genau eine fundamentale Wirklichkeit</w:t>
      </w:r>
      <w:r>
        <w:rPr>
          <w:i/>
          <w:iCs/>
        </w:rPr>
        <w:t xml:space="preserve"> </w:t>
      </w:r>
      <m:oMath>
        <m:r>
          <m:t>E</m:t>
        </m:r>
      </m:oMath>
      <w:r>
        <w:rPr>
          <w:i/>
          <w:iCs/>
        </w:rPr>
        <w:t xml:space="preserve">.</w:t>
      </w:r>
      <w:r>
        <w:rPr>
          <w:i/>
          <w:iCs/>
        </w:rPr>
        <w:t xml:space="preserve"> </w:t>
      </w:r>
      <m:oMathPara>
        <m:oMathParaPr>
          <m:jc m:val="center"/>
        </m:oMathParaPr>
        <m:oMath>
          <m:r>
            <m:rPr>
              <m:sty m:val="p"/>
            </m:rPr>
            <m:t>∀</m:t>
          </m:r>
          <m:r>
            <m:t>x</m:t>
          </m:r>
          <m:r>
            <m:rPr>
              <m:sty m:val="p"/>
            </m:rPr>
            <m:t>∀</m:t>
          </m:r>
          <m:r>
            <m:t>y</m:t>
          </m:r>
          <m:r>
            <m:t> </m:t>
          </m:r>
          <m:r>
            <m:rPr>
              <m:sty m:val="p"/>
            </m:rPr>
            <m:t>(</m:t>
          </m:r>
          <m:r>
            <m:t>x</m:t>
          </m:r>
          <m:r>
            <m:rPr>
              <m:sty m:val="p"/>
            </m:rPr>
            <m:t>⊆</m:t>
          </m:r>
          <m:r>
            <m:t>E</m:t>
          </m:r>
          <m:r>
            <m:rPr>
              <m:sty m:val="p"/>
            </m:rPr>
            <m:t>∧</m:t>
          </m:r>
          <m:r>
            <m:t>y</m:t>
          </m:r>
          <m:r>
            <m:rPr>
              <m:sty m:val="p"/>
            </m:rPr>
            <m:t>⊆</m:t>
          </m:r>
          <m:r>
            <m:t>E</m:t>
          </m:r>
          <m:r>
            <m:rPr>
              <m:sty m:val="p"/>
            </m:rPr>
            <m:t>)</m:t>
          </m:r>
          <m:r>
            <m:rPr>
              <m:sty m:val="p"/>
            </m:rPr>
            <m:t>→</m:t>
          </m:r>
          <m:r>
            <m:rPr>
              <m:sty m:val="p"/>
            </m:rPr>
            <m:t>¬</m:t>
          </m:r>
          <m:r>
            <m:rPr>
              <m:sty m:val="p"/>
            </m:rPr>
            <m:t>∃</m:t>
          </m:r>
          <m:r>
            <m:rPr>
              <m:nor/>
              <m:sty m:val="p"/>
            </m:rPr>
            <m:t> fundamentale Trennung</m:t>
          </m:r>
          <m:r>
            <m:rPr>
              <m:sty m:val="p"/>
            </m:rPr>
            <m:t>(</m:t>
          </m:r>
          <m:r>
            <m:t>x</m:t>
          </m:r>
          <m:r>
            <m:rPr>
              <m:sty m:val="p"/>
            </m:rPr>
            <m:t>,</m:t>
          </m:r>
          <m:r>
            <m:t>y</m:t>
          </m:r>
          <m:r>
            <m:rPr>
              <m:sty m:val="p"/>
            </m:rPr>
            <m:t>)</m:t>
          </m:r>
        </m:oMath>
      </m:oMathPara>
    </w:p>
    <w:bookmarkEnd w:id="10"/>
    <w:bookmarkStart w:id="11" w:name="ax:modalrealism"/>
    <w:p>
      <w:pPr>
        <w:pStyle w:val="FirstParagraph"/>
      </w:pPr>
      <w:r>
        <w:rPr>
          <w:b/>
          <w:bCs/>
        </w:rPr>
        <w:t xml:space="preserve">Axiom 2</w:t>
      </w:r>
      <w:r>
        <w:t xml:space="preserve"> </w:t>
      </w:r>
      <w:r>
        <w:t xml:space="preserve">(Modalrealismus (MR)).</w:t>
      </w:r>
      <w:r>
        <w:t xml:space="preserve"> </w:t>
      </w:r>
      <w:r>
        <w:t xml:space="preserve"> </w:t>
      </w:r>
      <w:r>
        <w:rPr>
          <w:i/>
          <w:iCs/>
        </w:rPr>
        <w:t xml:space="preserve">Möglichkeit ist eine reale, ontologische Eigenschaft von</w:t>
      </w:r>
      <w:r>
        <w:rPr>
          <w:i/>
          <w:iCs/>
        </w:rPr>
        <w:t xml:space="preserve"> </w:t>
      </w:r>
      <m:oMath>
        <m:r>
          <m:t>E</m:t>
        </m:r>
      </m:oMath>
      <w:r>
        <w:rPr>
          <w:i/>
          <w:iCs/>
        </w:rPr>
        <w:t xml:space="preserve">. Es gibt mögliche Zustände von</w:t>
      </w:r>
      <w:r>
        <w:rPr>
          <w:i/>
          <w:iCs/>
        </w:rPr>
        <w:t xml:space="preserve"> </w:t>
      </w:r>
      <m:oMath>
        <m:r>
          <m:t>E</m:t>
        </m:r>
      </m:oMath>
      <w:r>
        <w:rPr>
          <w:i/>
          <w:iCs/>
        </w:rPr>
        <w:t xml:space="preserve">, die nicht mit dem aktuellen Zustand identisch sind.</w:t>
      </w:r>
      <w:r>
        <w:rPr>
          <w:i/>
          <w:iCs/>
        </w:rPr>
        <w:t xml:space="preserve"> </w:t>
      </w:r>
      <m:oMathPara>
        <m:oMathParaPr>
          <m:jc m:val="center"/>
        </m:oMathParaPr>
        <m:oMath>
          <m:r>
            <m:rPr>
              <m:sty m:val="p"/>
            </m:rPr>
            <m:t>∃</m:t>
          </m:r>
          <m:r>
            <m:t>w</m:t>
          </m:r>
          <m:r>
            <m:rPr>
              <m:sty m:val="p"/>
            </m:rPr>
            <m:t>(</m:t>
          </m:r>
          <m:r>
            <m:t>w</m:t>
          </m:r>
          <m:r>
            <m:rPr>
              <m:sty m:val="p"/>
            </m:rPr>
            <m:t>≠</m:t>
          </m:r>
          <m:sSub>
            <m:e>
              <m:r>
                <m:t>w</m:t>
              </m:r>
            </m:e>
            <m:sub>
              <m:r>
                <m:t>0</m:t>
              </m:r>
            </m:sub>
          </m:sSub>
          <m:r>
            <m:rPr>
              <m:sty m:val="p"/>
            </m:rPr>
            <m:t>∧</m:t>
          </m:r>
          <m:sSub>
            <m:e>
              <m:r>
                <m:t>w</m:t>
              </m:r>
            </m:e>
            <m:sub>
              <m:r>
                <m:t>0</m:t>
              </m:r>
            </m:sub>
          </m:sSub>
          <m:r>
            <m:t>R</m:t>
          </m:r>
          <m:r>
            <m:t>w</m:t>
          </m:r>
          <m:r>
            <m:rPr>
              <m:sty m:val="p"/>
            </m:rPr>
            <m:t>)</m:t>
          </m:r>
        </m:oMath>
      </m:oMathPara>
      <w:r>
        <w:rPr>
          <w:i/>
          <w:iCs/>
        </w:rPr>
        <w:t xml:space="preserve"> </w:t>
      </w:r>
      <w:r>
        <w:rPr>
          <w:i/>
          <w:iCs/>
        </w:rPr>
        <w:t xml:space="preserve">wobei</w:t>
      </w:r>
      <w:r>
        <w:rPr>
          <w:i/>
          <w:iCs/>
        </w:rPr>
        <w:t xml:space="preserve"> </w:t>
      </w:r>
      <m:oMath>
        <m:r>
          <m:t>R</m:t>
        </m:r>
      </m:oMath>
      <w:r>
        <w:rPr>
          <w:i/>
          <w:iCs/>
        </w:rPr>
        <w:t xml:space="preserve"> </w:t>
      </w:r>
      <w:r>
        <w:rPr>
          <w:i/>
          <w:iCs/>
        </w:rPr>
        <w:t xml:space="preserve">die Erreichbarkeitsrelation ist und</w:t>
      </w:r>
      <w:r>
        <w:rPr>
          <w:i/>
          <w:iCs/>
        </w:rPr>
        <w:t xml:space="preserve"> </w:t>
      </w:r>
      <m:oMath>
        <m:sSub>
          <m:e>
            <m:r>
              <m:t>w</m:t>
            </m:r>
          </m:e>
          <m:sub>
            <m:r>
              <m:t>0</m:t>
            </m:r>
          </m:sub>
        </m:sSub>
      </m:oMath>
      <w:r>
        <w:rPr>
          <w:i/>
          <w:iCs/>
        </w:rPr>
        <w:t xml:space="preserve"> </w:t>
      </w:r>
      <w:r>
        <w:rPr>
          <w:i/>
          <w:iCs/>
        </w:rPr>
        <w:t xml:space="preserve">die aktuale Welt.</w:t>
      </w:r>
    </w:p>
    <w:bookmarkEnd w:id="11"/>
    <w:bookmarkStart w:id="12" w:name="ax:reflexivity"/>
    <w:p>
      <w:pPr>
        <w:pStyle w:val="FirstParagraph"/>
      </w:pPr>
      <w:r>
        <w:rPr>
          <w:b/>
          <w:bCs/>
        </w:rPr>
        <w:t xml:space="preserve">Axiom 3</w:t>
      </w:r>
      <w:r>
        <w:t xml:space="preserve"> </w:t>
      </w:r>
      <w:r>
        <w:t xml:space="preserve">(Reflexivität (R)).</w:t>
      </w:r>
      <w:r>
        <w:t xml:space="preserve"> </w:t>
      </w:r>
      <w:r>
        <w:t xml:space="preserve"> </w:t>
      </w:r>
      <w:r>
        <w:rPr>
          <w:i/>
          <w:iCs/>
        </w:rPr>
        <w:t xml:space="preserve">Die Wirklichkeit</w:t>
      </w:r>
      <w:r>
        <w:rPr>
          <w:i/>
          <w:iCs/>
        </w:rPr>
        <w:t xml:space="preserve"> </w:t>
      </w:r>
      <m:oMath>
        <m:r>
          <m:t>E</m:t>
        </m:r>
      </m:oMath>
      <w:r>
        <w:rPr>
          <w:i/>
          <w:iCs/>
        </w:rPr>
        <w:t xml:space="preserve"> </w:t>
      </w:r>
      <w:r>
        <w:rPr>
          <w:i/>
          <w:iCs/>
        </w:rPr>
        <w:t xml:space="preserve">ist fähig, sich selbst zu repräsentieren. Ein Teil von</w:t>
      </w:r>
      <w:r>
        <w:rPr>
          <w:i/>
          <w:iCs/>
        </w:rPr>
        <w:t xml:space="preserve"> </w:t>
      </w:r>
      <m:oMath>
        <m:r>
          <m:t>E</m:t>
        </m:r>
      </m:oMath>
      <w:r>
        <w:rPr>
          <w:i/>
          <w:iCs/>
        </w:rPr>
        <w:t xml:space="preserve"> </w:t>
      </w:r>
      <w:r>
        <w:rPr>
          <w:i/>
          <w:iCs/>
        </w:rPr>
        <w:t xml:space="preserve">kann ein Modell von</w:t>
      </w:r>
      <w:r>
        <w:rPr>
          <w:i/>
          <w:iCs/>
        </w:rPr>
        <w:t xml:space="preserve"> </w:t>
      </w:r>
      <m:oMath>
        <m:r>
          <m:t>E</m:t>
        </m:r>
      </m:oMath>
      <w:r>
        <w:rPr>
          <w:i/>
          <w:iCs/>
        </w:rPr>
        <w:t xml:space="preserve"> </w:t>
      </w:r>
      <w:r>
        <w:rPr>
          <w:i/>
          <w:iCs/>
        </w:rPr>
        <w:t xml:space="preserve">sein.</w:t>
      </w:r>
      <w:r>
        <w:rPr>
          <w:i/>
          <w:iCs/>
        </w:rPr>
        <w:t xml:space="preserve"> </w:t>
      </w:r>
      <m:oMathPara>
        <m:oMathParaPr>
          <m:jc m:val="center"/>
        </m:oMathParaPr>
        <m:oMath>
          <m:r>
            <m:rPr>
              <m:sty m:val="p"/>
            </m:rPr>
            <m:t>∃</m:t>
          </m:r>
          <m:r>
            <m:t>M</m:t>
          </m:r>
          <m:r>
            <m:rPr>
              <m:sty m:val="p"/>
            </m:rPr>
            <m:t>⊆</m:t>
          </m:r>
          <m:r>
            <m:t>E</m:t>
          </m:r>
          <m:r>
            <m:t> </m:t>
          </m:r>
          <m:r>
            <m:rPr>
              <m:sty m:val="p"/>
            </m:rPr>
            <m:t>(</m:t>
          </m:r>
          <m:r>
            <m:t>M</m:t>
          </m:r>
          <m:r>
            <m:rPr>
              <m:sty m:val="p"/>
            </m:rPr>
            <m:t>⊨</m:t>
          </m:r>
          <m:r>
            <m:t>E</m:t>
          </m:r>
          <m:r>
            <m:rPr>
              <m:sty m:val="p"/>
            </m:rPr>
            <m:t>)</m:t>
          </m:r>
        </m:oMath>
      </m:oMathPara>
    </w:p>
    <w:bookmarkEnd w:id="12"/>
    <w:p>
      <w:pPr>
        <w:pStyle w:val="FirstParagraph"/>
      </w:pPr>
      <w:r>
        <w:t xml:space="preserve">Diese drei Prinzipien sind minimalistisch. Sie setzen nichts über eine spezifische Anzahl von Welten oder eine bestimmte Art von Bewusstsein voraus.</w:t>
      </w:r>
    </w:p>
    <w:bookmarkEnd w:id="13"/>
    <w:bookmarkStart w:id="20" w:name="die-ableitung-der-strukturmomente"/>
    <w:p>
      <w:pPr>
        <w:pStyle w:val="Heading1"/>
      </w:pPr>
      <w:r>
        <w:t xml:space="preserve">Die Ableitung der Strukturmomente</w:t>
      </w:r>
    </w:p>
    <w:p>
      <w:pPr>
        <w:pStyle w:val="FirstParagraph"/>
      </w:pPr>
      <w:r>
        <w:t xml:space="preserve">Aus diesen drei Prinzipien können wir nun die drei strukturellen Rollen ableiten.</w:t>
      </w:r>
    </w:p>
    <w:bookmarkStart w:id="15" w:name="u-der-ursprung-der-einheit"/>
    <w:p>
      <w:pPr>
        <w:pStyle w:val="Heading2"/>
      </w:pPr>
      <w:r>
        <w:t xml:space="preserve">U – Der Ursprung der Einheit</w:t>
      </w:r>
    </w:p>
    <w:p>
      <w:pPr>
        <w:pStyle w:val="FirstParagraph"/>
      </w:pPr>
      <w:r>
        <w:t xml:space="preserve">Aus Axiom</w:t>
      </w:r>
      <w:r>
        <w:t xml:space="preserve"> </w:t>
      </w:r>
      <w:hyperlink w:anchor="ax:monism">
        <w:r>
          <w:rPr>
            <w:rStyle w:val="Hyperlink"/>
          </w:rPr>
          <w:t xml:space="preserve">1</w:t>
        </w:r>
      </w:hyperlink>
      <w:r>
        <w:t xml:space="preserve"> </w:t>
      </w:r>
      <w:r>
        <w:t xml:space="preserve">folgt, dass es eine Einheit gibt, die allen möglichen Zuständen zugrunde liegt. Diese Einheit ist nicht selbst einer der Zustände, sondern die Bedingung der Möglichkeit aller Zustände.</w:t>
      </w:r>
    </w:p>
    <w:bookmarkStart w:id="14" w:name="def:origin"/>
    <w:p>
      <w:pPr>
        <w:pStyle w:val="BodyText"/>
      </w:pPr>
      <w:r>
        <w:rPr>
          <w:b/>
          <w:bCs/>
        </w:rPr>
        <w:t xml:space="preserve">Definition 4</w:t>
      </w:r>
      <w:r>
        <w:t xml:space="preserve"> </w:t>
      </w:r>
      <w:r>
        <w:t xml:space="preserve">(Ursprung (U)).</w:t>
      </w:r>
      <w:r>
        <w:t xml:space="preserve"> </w:t>
      </w:r>
      <w:r>
        <w:t xml:space="preserve"> </w:t>
      </w:r>
      <w:r>
        <w:rPr>
          <w:i/>
          <w:iCs/>
        </w:rPr>
        <w:t xml:space="preserve">Der Ursprung</w:t>
      </w:r>
      <w:r>
        <w:rPr>
          <w:i/>
          <w:iCs/>
        </w:rPr>
        <w:t xml:space="preserve"> </w:t>
      </w:r>
      <m:oMath>
        <m:r>
          <m:t>U</m:t>
        </m:r>
      </m:oMath>
      <w:r>
        <w:rPr>
          <w:i/>
          <w:iCs/>
        </w:rPr>
        <w:t xml:space="preserve"> </w:t>
      </w:r>
      <w:r>
        <w:rPr>
          <w:i/>
          <w:iCs/>
        </w:rPr>
        <w:t xml:space="preserve">ist die Einheit von</w:t>
      </w:r>
      <w:r>
        <w:rPr>
          <w:i/>
          <w:iCs/>
        </w:rPr>
        <w:t xml:space="preserve"> </w:t>
      </w:r>
      <m:oMath>
        <m:r>
          <m:t>E</m:t>
        </m:r>
      </m:oMath>
      <w:r>
        <w:rPr>
          <w:i/>
          <w:iCs/>
        </w:rPr>
        <w:t xml:space="preserve">, die allen möglichen Zuständen</w:t>
      </w:r>
      <w:r>
        <w:rPr>
          <w:i/>
          <w:iCs/>
        </w:rPr>
        <w:t xml:space="preserve"> </w:t>
      </w:r>
      <m:oMath>
        <m:r>
          <m:t>w</m:t>
        </m:r>
      </m:oMath>
      <w:r>
        <w:rPr>
          <w:i/>
          <w:iCs/>
        </w:rPr>
        <w:t xml:space="preserve"> </w:t>
      </w:r>
      <w:r>
        <w:rPr>
          <w:i/>
          <w:iCs/>
        </w:rPr>
        <w:t xml:space="preserve">zugrunde liegt. Es gilt:</w:t>
      </w:r>
      <w:r>
        <w:rPr>
          <w:i/>
          <w:iCs/>
        </w:rPr>
        <w:t xml:space="preserve"> </w:t>
      </w:r>
      <m:oMathPara>
        <m:oMathParaPr>
          <m:jc m:val="center"/>
        </m:oMathParaPr>
        <m:oMath>
          <m:r>
            <m:t>U</m:t>
          </m:r>
          <m:box>
            <m:boxPr>
              <m:opEmu m:val="on"/>
            </m:boxPr>
            <m:e>
              <m:r>
                <m:rPr>
                  <m:sty m:val="p"/>
                </m:rPr>
                <m:t>:=</m:t>
              </m:r>
            </m:e>
          </m:box>
          <m:r>
            <m:t>E</m:t>
          </m:r>
          <m:r>
            <m:rPr>
              <m:sty m:val="p"/>
            </m:rPr>
            <m:t>\</m:t>
          </m:r>
          <m:limLow>
            <m:e>
              <m:r>
                <m:rPr>
                  <m:sty m:val="p"/>
                </m:rPr>
                <m:t>⋃</m:t>
              </m:r>
            </m:e>
            <m:lim>
              <m:r>
                <m:t>w</m:t>
              </m:r>
              <m:r>
                <m:rPr>
                  <m:sty m:val="p"/>
                </m:rPr>
                <m:t>∈</m:t>
              </m:r>
              <m:r>
                <m:t>W</m:t>
              </m:r>
              <m:r>
                <m:rPr>
                  <m:sty m:val="p"/>
                </m:rPr>
                <m:t>,</m:t>
              </m:r>
              <m:r>
                <m:t>w</m:t>
              </m:r>
              <m:r>
                <m:rPr>
                  <m:sty m:val="p"/>
                </m:rPr>
                <m:t>≠</m:t>
              </m:r>
              <m:sSub>
                <m:e>
                  <m:r>
                    <m:t>w</m:t>
                  </m:r>
                </m:e>
                <m:sub>
                  <m:r>
                    <m:t>0</m:t>
                  </m:r>
                </m:sub>
              </m:sSub>
            </m:lim>
          </m:limLow>
          <m:r>
            <m:t>w</m:t>
          </m:r>
        </m:oMath>
      </m:oMathPara>
      <w:r>
        <w:rPr>
          <w:i/>
          <w:iCs/>
        </w:rPr>
        <w:t xml:space="preserve"> </w:t>
      </w:r>
      <w:r>
        <w:rPr>
          <w:i/>
          <w:iCs/>
        </w:rPr>
        <w:t xml:space="preserve">wobei</w:t>
      </w:r>
      <w:r>
        <w:rPr>
          <w:i/>
          <w:iCs/>
        </w:rPr>
        <w:t xml:space="preserve"> </w:t>
      </w:r>
      <m:oMath>
        <m:r>
          <m:t>W</m:t>
        </m:r>
      </m:oMath>
      <w:r>
        <w:rPr>
          <w:i/>
          <w:iCs/>
        </w:rPr>
        <w:t xml:space="preserve"> </w:t>
      </w:r>
      <w:r>
        <w:rPr>
          <w:i/>
          <w:iCs/>
        </w:rPr>
        <w:t xml:space="preserve">die Menge aller möglichen Zustände ist.</w:t>
      </w:r>
    </w:p>
    <w:bookmarkEnd w:id="14"/>
    <w:p>
      <w:pPr>
        <w:pStyle w:val="FirstParagraph"/>
      </w:pPr>
      <m:oMath>
        <m:r>
          <m:t>U</m:t>
        </m:r>
      </m:oMath>
      <w:r>
        <w:t xml:space="preserve"> </w:t>
      </w:r>
      <w:r>
        <w:t xml:space="preserve">ist das, was bleibt, wenn man alle spezifischen Zustände von</w:t>
      </w:r>
      <w:r>
        <w:t xml:space="preserve"> </w:t>
      </w:r>
      <m:oMath>
        <m:r>
          <m:t>E</m:t>
        </m:r>
      </m:oMath>
      <w:r>
        <w:t xml:space="preserve"> </w:t>
      </w:r>
      <w:r>
        <w:t xml:space="preserve">abstrahiert. Es ist der reine Einheitsgrund, der es überhaupt erst erlaubt, von einer einzigen Wirklichkeit zu sprechen.</w:t>
      </w:r>
    </w:p>
    <w:bookmarkEnd w:id="15"/>
    <w:bookmarkStart w:id="17" w:name="t-die-totalität-der-möglichkeiten"/>
    <w:p>
      <w:pPr>
        <w:pStyle w:val="Heading2"/>
      </w:pPr>
      <w:r>
        <w:t xml:space="preserve">T – Die Totalität der Möglichkeiten</w:t>
      </w:r>
    </w:p>
    <w:p>
      <w:pPr>
        <w:pStyle w:val="FirstParagraph"/>
      </w:pPr>
      <w:r>
        <w:t xml:space="preserve">Aus Axiom</w:t>
      </w:r>
      <w:r>
        <w:t xml:space="preserve"> </w:t>
      </w:r>
      <w:hyperlink w:anchor="ax:modalrealism">
        <w:r>
          <w:rPr>
            <w:rStyle w:val="Hyperlink"/>
          </w:rPr>
          <w:t xml:space="preserve">2</w:t>
        </w:r>
      </w:hyperlink>
      <w:r>
        <w:t xml:space="preserve"> </w:t>
      </w:r>
      <w:r>
        <w:t xml:space="preserve">folgt, dass</w:t>
      </w:r>
      <w:r>
        <w:t xml:space="preserve"> </w:t>
      </w:r>
      <m:oMath>
        <m:r>
          <m:t>E</m:t>
        </m:r>
      </m:oMath>
      <w:r>
        <w:t xml:space="preserve"> </w:t>
      </w:r>
      <w:r>
        <w:t xml:space="preserve">nicht nur ein einziger Zustand ist, sondern eine Struktur von Möglichkeiten. Diese Struktur ist die Gesamtheit aller möglichen Zustände.</w:t>
      </w:r>
    </w:p>
    <w:bookmarkStart w:id="16" w:name="def:totality"/>
    <w:p>
      <w:pPr>
        <w:pStyle w:val="BodyText"/>
      </w:pPr>
      <w:r>
        <w:rPr>
          <w:b/>
          <w:bCs/>
        </w:rPr>
        <w:t xml:space="preserve">Definition 5</w:t>
      </w:r>
      <w:r>
        <w:t xml:space="preserve"> </w:t>
      </w:r>
      <w:r>
        <w:t xml:space="preserve">(Totalität (T)).</w:t>
      </w:r>
      <w:r>
        <w:t xml:space="preserve"> </w:t>
      </w:r>
      <w:r>
        <w:t xml:space="preserve"> </w:t>
      </w:r>
      <w:r>
        <w:rPr>
          <w:i/>
          <w:iCs/>
        </w:rPr>
        <w:t xml:space="preserve">Die Totalität</w:t>
      </w:r>
      <w:r>
        <w:rPr>
          <w:i/>
          <w:iCs/>
        </w:rPr>
        <w:t xml:space="preserve"> </w:t>
      </w:r>
      <m:oMath>
        <m:r>
          <m:t>T</m:t>
        </m:r>
      </m:oMath>
      <w:r>
        <w:rPr>
          <w:i/>
          <w:iCs/>
        </w:rPr>
        <w:t xml:space="preserve"> </w:t>
      </w:r>
      <w:r>
        <w:rPr>
          <w:i/>
          <w:iCs/>
        </w:rPr>
        <w:t xml:space="preserve">ist die Struktur aller möglichen Zustände von</w:t>
      </w:r>
      <w:r>
        <w:rPr>
          <w:i/>
          <w:iCs/>
        </w:rPr>
        <w:t xml:space="preserve"> </w:t>
      </w:r>
      <m:oMath>
        <m:r>
          <m:t>E</m:t>
        </m:r>
      </m:oMath>
      <w:r>
        <w:rPr>
          <w:i/>
          <w:iCs/>
        </w:rPr>
        <w:t xml:space="preserve">. Es gilt:</w:t>
      </w:r>
      <w:r>
        <w:rPr>
          <w:i/>
          <w:iCs/>
        </w:rPr>
        <w:t xml:space="preserve"> </w:t>
      </w:r>
      <m:oMathPara>
        <m:oMathParaPr>
          <m:jc m:val="center"/>
        </m:oMathParaPr>
        <m:oMath>
          <m:r>
            <m:t>T</m:t>
          </m:r>
          <m:box>
            <m:boxPr>
              <m:opEmu m:val="on"/>
            </m:boxPr>
            <m:e>
              <m:r>
                <m:rPr>
                  <m:sty m:val="p"/>
                </m:rPr>
                <m:t>:=</m:t>
              </m:r>
            </m:e>
          </m:box>
          <m:limLow>
            <m:e>
              <m:r>
                <m:rPr>
                  <m:sty m:val="p"/>
                </m:rPr>
                <m:t>⋃</m:t>
              </m:r>
            </m:e>
            <m:lim>
              <m:r>
                <m:t>w</m:t>
              </m:r>
              <m:r>
                <m:rPr>
                  <m:sty m:val="p"/>
                </m:rPr>
                <m:t>∈</m:t>
              </m:r>
              <m:r>
                <m:t>W</m:t>
              </m:r>
            </m:lim>
          </m:limLow>
          <m:r>
            <m:t>w</m:t>
          </m:r>
        </m:oMath>
      </m:oMathPara>
    </w:p>
    <w:bookmarkEnd w:id="16"/>
    <w:p>
      <w:pPr>
        <w:pStyle w:val="FirstParagraph"/>
      </w:pPr>
      <m:oMath>
        <m:r>
          <m:t>T</m:t>
        </m:r>
      </m:oMath>
      <w:r>
        <w:t xml:space="preserve"> </w:t>
      </w:r>
      <w:r>
        <w:t xml:space="preserve">ist die Gesamtheit dessen, was</w:t>
      </w:r>
      <w:r>
        <w:t xml:space="preserve"> </w:t>
      </w:r>
      <m:oMath>
        <m:r>
          <m:t>E</m:t>
        </m:r>
      </m:oMath>
      <w:r>
        <w:t xml:space="preserve"> </w:t>
      </w:r>
      <w:r>
        <w:t xml:space="preserve">sein</w:t>
      </w:r>
      <w:r>
        <w:t xml:space="preserve"> </w:t>
      </w:r>
      <w:r>
        <w:rPr>
          <w:i/>
          <w:iCs/>
        </w:rPr>
        <w:t xml:space="preserve">kann</w:t>
      </w:r>
      <w:r>
        <w:t xml:space="preserve">. Sie ist nicht von</w:t>
      </w:r>
      <w:r>
        <w:t xml:space="preserve"> </w:t>
      </w:r>
      <m:oMath>
        <m:r>
          <m:t>U</m:t>
        </m:r>
      </m:oMath>
      <w:r>
        <w:t xml:space="preserve"> </w:t>
      </w:r>
      <w:r>
        <w:t xml:space="preserve">getrennt, sondern die Entfaltung von</w:t>
      </w:r>
      <w:r>
        <w:t xml:space="preserve"> </w:t>
      </w:r>
      <m:oMath>
        <m:r>
          <m:t>U</m:t>
        </m:r>
      </m:oMath>
      <w:r>
        <w:t xml:space="preserve"> </w:t>
      </w:r>
      <w:r>
        <w:t xml:space="preserve">in die Modalität hinein.</w:t>
      </w:r>
      <w:r>
        <w:t xml:space="preserve"> </w:t>
      </w:r>
      <m:oMath>
        <m:r>
          <m:t>U</m:t>
        </m:r>
      </m:oMath>
      <w:r>
        <w:t xml:space="preserve"> </w:t>
      </w:r>
      <w:r>
        <w:t xml:space="preserve">und</w:t>
      </w:r>
      <w:r>
        <w:t xml:space="preserve"> </w:t>
      </w:r>
      <m:oMath>
        <m:r>
          <m:t>T</m:t>
        </m:r>
      </m:oMath>
      <w:r>
        <w:t xml:space="preserve"> </w:t>
      </w:r>
      <w:r>
        <w:t xml:space="preserve">sind zwei Perspektiven auf dieselbe Wirklichkeit:</w:t>
      </w:r>
      <w:r>
        <w:t xml:space="preserve"> </w:t>
      </w:r>
      <m:oMath>
        <m:r>
          <m:t>U</m:t>
        </m:r>
      </m:oMath>
      <w:r>
        <w:t xml:space="preserve"> </w:t>
      </w:r>
      <w:r>
        <w:t xml:space="preserve">ist die Einheit,</w:t>
      </w:r>
      <w:r>
        <w:t xml:space="preserve"> </w:t>
      </w:r>
      <m:oMath>
        <m:r>
          <m:t>T</m:t>
        </m:r>
      </m:oMath>
      <w:r>
        <w:t xml:space="preserve"> </w:t>
      </w:r>
      <w:r>
        <w:t xml:space="preserve">ist die Fülle der Möglichkeiten.</w:t>
      </w:r>
    </w:p>
    <w:bookmarkEnd w:id="17"/>
    <w:bookmarkStart w:id="19" w:name="s-die-selbsterkenntnis-der-totalität"/>
    <w:p>
      <w:pPr>
        <w:pStyle w:val="Heading2"/>
      </w:pPr>
      <w:r>
        <w:t xml:space="preserve">S – Die Selbsterkenntnis der Totalität</w:t>
      </w:r>
    </w:p>
    <w:p>
      <w:pPr>
        <w:pStyle w:val="FirstParagraph"/>
      </w:pPr>
      <w:r>
        <w:t xml:space="preserve">Aus Axiom</w:t>
      </w:r>
      <w:r>
        <w:t xml:space="preserve"> </w:t>
      </w:r>
      <w:hyperlink w:anchor="ax:reflexivity">
        <w:r>
          <w:rPr>
            <w:rStyle w:val="Hyperlink"/>
          </w:rPr>
          <w:t xml:space="preserve">3</w:t>
        </w:r>
      </w:hyperlink>
      <w:r>
        <w:t xml:space="preserve"> </w:t>
      </w:r>
      <w:r>
        <w:t xml:space="preserve">folgt, dass</w:t>
      </w:r>
      <w:r>
        <w:t xml:space="preserve"> </w:t>
      </w:r>
      <m:oMath>
        <m:r>
          <m:t>E</m:t>
        </m:r>
      </m:oMath>
      <w:r>
        <w:t xml:space="preserve"> </w:t>
      </w:r>
      <w:r>
        <w:t xml:space="preserve">sich selbst repräsentieren kann. Wenn diese Repräsentation vollständig ist, entsteht ein Zustand, in dem die Totalität</w:t>
      </w:r>
      <w:r>
        <w:t xml:space="preserve"> </w:t>
      </w:r>
      <m:oMath>
        <m:r>
          <m:t>T</m:t>
        </m:r>
      </m:oMath>
      <w:r>
        <w:t xml:space="preserve"> </w:t>
      </w:r>
      <w:r>
        <w:t xml:space="preserve">sich selbst als Einheit</w:t>
      </w:r>
      <w:r>
        <w:t xml:space="preserve"> </w:t>
      </w:r>
      <m:oMath>
        <m:r>
          <m:t>U</m:t>
        </m:r>
      </m:oMath>
      <w:r>
        <w:t xml:space="preserve"> </w:t>
      </w:r>
      <w:r>
        <w:t xml:space="preserve">erkennt.</w:t>
      </w:r>
    </w:p>
    <w:bookmarkStart w:id="18" w:name="def:selfknowledge"/>
    <w:p>
      <w:pPr>
        <w:pStyle w:val="BodyText"/>
      </w:pPr>
      <w:r>
        <w:rPr>
          <w:b/>
          <w:bCs/>
        </w:rPr>
        <w:t xml:space="preserve">Definition 6</w:t>
      </w:r>
      <w:r>
        <w:t xml:space="preserve"> </w:t>
      </w:r>
      <w:r>
        <w:t xml:space="preserve">(Selbsterkenntnis (S)).</w:t>
      </w:r>
      <w:r>
        <w:t xml:space="preserve"> </w:t>
      </w:r>
      <w:r>
        <w:t xml:space="preserve"> </w:t>
      </w:r>
      <w:r>
        <w:rPr>
          <w:i/>
          <w:iCs/>
        </w:rPr>
        <w:t xml:space="preserve">Die Selbsterkenntnis</w:t>
      </w:r>
      <w:r>
        <w:rPr>
          <w:i/>
          <w:iCs/>
        </w:rPr>
        <w:t xml:space="preserve"> </w:t>
      </w:r>
      <m:oMath>
        <m:r>
          <m:t>S</m:t>
        </m:r>
      </m:oMath>
      <w:r>
        <w:rPr>
          <w:i/>
          <w:iCs/>
        </w:rPr>
        <w:t xml:space="preserve"> </w:t>
      </w:r>
      <w:r>
        <w:rPr>
          <w:i/>
          <w:iCs/>
        </w:rPr>
        <w:t xml:space="preserve">ist die vollständige und reflexive Repräsentation von</w:t>
      </w:r>
      <w:r>
        <w:rPr>
          <w:i/>
          <w:iCs/>
        </w:rPr>
        <w:t xml:space="preserve"> </w:t>
      </w:r>
      <m:oMath>
        <m:r>
          <m:t>T</m:t>
        </m:r>
      </m:oMath>
      <w:r>
        <w:rPr>
          <w:i/>
          <w:iCs/>
        </w:rPr>
        <w:t xml:space="preserve"> </w:t>
      </w:r>
      <w:r>
        <w:rPr>
          <w:i/>
          <w:iCs/>
        </w:rPr>
        <w:t xml:space="preserve">in</w:t>
      </w:r>
      <w:r>
        <w:rPr>
          <w:i/>
          <w:iCs/>
        </w:rPr>
        <w:t xml:space="preserve"> </w:t>
      </w:r>
      <m:oMath>
        <m:r>
          <m:t>E</m:t>
        </m:r>
      </m:oMath>
      <w:r>
        <w:rPr>
          <w:i/>
          <w:iCs/>
        </w:rPr>
        <w:t xml:space="preserve">. Es gilt:</w:t>
      </w:r>
      <w:r>
        <w:rPr>
          <w:i/>
          <w:iCs/>
        </w:rPr>
        <w:t xml:space="preserve"> </w:t>
      </w:r>
      <m:oMathPara>
        <m:oMathParaPr>
          <m:jc m:val="center"/>
        </m:oMathParaPr>
        <m:oMath>
          <m:r>
            <m:t>S</m:t>
          </m:r>
          <m:box>
            <m:boxPr>
              <m:opEmu m:val="on"/>
            </m:boxPr>
            <m:e>
              <m:r>
                <m:rPr>
                  <m:sty m:val="p"/>
                </m:rPr>
                <m:t>:=</m:t>
              </m:r>
            </m:e>
          </m:box>
          <m:r>
            <m:rPr>
              <m:sty m:val="p"/>
            </m:rPr>
            <m:t>{</m:t>
          </m:r>
          <m:r>
            <m:t>M</m:t>
          </m:r>
          <m:r>
            <m:rPr>
              <m:sty m:val="p"/>
            </m:rPr>
            <m:t>⊆</m:t>
          </m:r>
          <m:r>
            <m:t>E</m:t>
          </m:r>
          <m:r>
            <m:rPr>
              <m:sty m:val="p"/>
            </m:rPr>
            <m:t>∣</m:t>
          </m:r>
          <m:r>
            <m:t>M</m:t>
          </m:r>
          <m:r>
            <m:rPr>
              <m:sty m:val="p"/>
            </m:rPr>
            <m:t>⊨</m:t>
          </m:r>
          <m:r>
            <m:t>T</m:t>
          </m:r>
          <m:r>
            <m:rPr>
              <m:sty m:val="p"/>
            </m:rPr>
            <m:t>∧</m:t>
          </m:r>
          <m:r>
            <m:t>M</m:t>
          </m:r>
          <m:r>
            <m:rPr>
              <m:sty m:val="p"/>
            </m:rPr>
            <m:t>⊨</m:t>
          </m:r>
          <m:r>
            <m:rPr>
              <m:sty m:val="p"/>
            </m:rPr>
            <m:t>(</m:t>
          </m:r>
          <m:r>
            <m:t>M</m:t>
          </m:r>
          <m:r>
            <m:rPr>
              <m:sty m:val="p"/>
            </m:rPr>
            <m:t>⊨</m:t>
          </m:r>
          <m:r>
            <m:t>T</m:t>
          </m:r>
          <m:r>
            <m:rPr>
              <m:sty m:val="p"/>
            </m:rPr>
            <m:t>)</m:t>
          </m:r>
          <m:r>
            <m:rPr>
              <m:sty m:val="p"/>
            </m:rPr>
            <m:t>}</m:t>
          </m:r>
        </m:oMath>
      </m:oMathPara>
    </w:p>
    <w:bookmarkEnd w:id="18"/>
    <w:p>
      <w:pPr>
        <w:pStyle w:val="FirstParagraph"/>
      </w:pPr>
      <m:oMath>
        <m:r>
          <m:t>S</m:t>
        </m:r>
      </m:oMath>
      <w:r>
        <w:t xml:space="preserve"> </w:t>
      </w:r>
      <w:r>
        <w:t xml:space="preserve">ist der Zustand, in dem die Struktur der Möglichkeiten (</w:t>
      </w:r>
      <m:oMath>
        <m:r>
          <m:t>T</m:t>
        </m:r>
      </m:oMath>
      <w:r>
        <w:t xml:space="preserve">) sich selbst als Einheit (</w:t>
      </w:r>
      <m:oMath>
        <m:r>
          <m:t>U</m:t>
        </m:r>
      </m:oMath>
      <w:r>
        <w:t xml:space="preserve">) erkennt.</w:t>
      </w:r>
      <w:r>
        <w:t xml:space="preserve"> </w:t>
      </w:r>
      <m:oMath>
        <m:r>
          <m:t>S</m:t>
        </m:r>
      </m:oMath>
      <w:r>
        <w:t xml:space="preserve"> </w:t>
      </w:r>
      <w:r>
        <w:t xml:space="preserve">ist nicht eine dritte Substanz, sondern der Prozess der Selbstwerdung von</w:t>
      </w:r>
      <w:r>
        <w:t xml:space="preserve"> </w:t>
      </w:r>
      <m:oMath>
        <m:r>
          <m:t>T</m:t>
        </m:r>
      </m:oMath>
      <w:r>
        <w:t xml:space="preserve"> </w:t>
      </w:r>
      <w:r>
        <w:t xml:space="preserve">in</w:t>
      </w:r>
      <w:r>
        <w:t xml:space="preserve"> </w:t>
      </w:r>
      <m:oMath>
        <m:r>
          <m:t>U</m:t>
        </m:r>
      </m:oMath>
      <w:r>
        <w:t xml:space="preserve">.</w:t>
      </w:r>
    </w:p>
    <w:bookmarkEnd w:id="19"/>
    <w:bookmarkEnd w:id="20"/>
    <w:bookmarkStart w:id="23" w:name="die-trinitarische-struktur"/>
    <w:p>
      <w:pPr>
        <w:pStyle w:val="Heading1"/>
      </w:pPr>
      <w:r>
        <w:t xml:space="preserve">Die trinitarische Struktur</w:t>
      </w:r>
    </w:p>
    <w:p>
      <w:pPr>
        <w:pStyle w:val="FirstParagraph"/>
      </w:pPr>
      <w:r>
        <w:t xml:space="preserve">Die drei Momente</w:t>
      </w:r>
      <w:r>
        <w:t xml:space="preserve"> </w:t>
      </w:r>
      <m:oMath>
        <m:r>
          <m:t>U</m:t>
        </m:r>
        <m:r>
          <m:rPr>
            <m:sty m:val="p"/>
          </m:rPr>
          <m:t>,</m:t>
        </m:r>
        <m:r>
          <m:t>T</m:t>
        </m:r>
        <m:r>
          <m:rPr>
            <m:sty m:val="p"/>
          </m:rPr>
          <m:t>,</m:t>
        </m:r>
        <m:r>
          <m:t>S</m:t>
        </m:r>
      </m:oMath>
      <w:r>
        <w:t xml:space="preserve"> </w:t>
      </w:r>
      <w:r>
        <w:t xml:space="preserve">sind nun nicht mehr bloße Axiome, sondern abgeleitete strukturelle Rollen.</w:t>
      </w:r>
    </w:p>
    <w:bookmarkStart w:id="21" w:name="thm:trinity"/>
    <w:p>
      <w:pPr>
        <w:pStyle w:val="BodyText"/>
      </w:pPr>
      <w:r>
        <w:rPr>
          <w:b/>
          <w:bCs/>
        </w:rPr>
        <w:t xml:space="preserve">Satz 7</w:t>
      </w:r>
      <w:r>
        <w:t xml:space="preserve"> </w:t>
      </w:r>
      <w:r>
        <w:t xml:space="preserve">(Die trinitarische Struktur).</w:t>
      </w:r>
      <w:r>
        <w:t xml:space="preserve"> </w:t>
      </w:r>
      <w:r>
        <w:t xml:space="preserve"> </w:t>
      </w:r>
      <w:r>
        <w:rPr>
          <w:i/>
          <w:iCs/>
        </w:rPr>
        <w:t xml:space="preserve">Unter den Axiomen M, MR und R gilt:</w:t>
      </w:r>
      <w:r>
        <w:rPr>
          <w:i/>
          <w:iCs/>
        </w:rPr>
        <w:t xml:space="preserve"> </w:t>
      </w:r>
      <m:oMathPara>
        <m:oMathParaPr>
          <m:jc m:val="center"/>
        </m:oMathParaPr>
        <m:oMath>
          <m:r>
            <m:rPr>
              <m:sty m:val="p"/>
            </m:rPr>
            <m:t>∀</m:t>
          </m:r>
          <m:r>
            <m:t>x</m:t>
          </m:r>
          <m:r>
            <m:t> </m:t>
          </m:r>
          <m:r>
            <m:rPr>
              <m:sty m:val="p"/>
            </m:rPr>
            <m:t>(</m:t>
          </m:r>
          <m:r>
            <m:t>x</m:t>
          </m:r>
          <m:r>
            <m:rPr>
              <m:sty m:val="p"/>
            </m:rPr>
            <m:t>∈</m:t>
          </m:r>
          <m:r>
            <m:t>E</m:t>
          </m:r>
          <m:r>
            <m:rPr>
              <m:sty m:val="p"/>
            </m:rPr>
            <m:t>→</m:t>
          </m:r>
          <m:r>
            <m:t>x</m:t>
          </m:r>
          <m:r>
            <m:rPr>
              <m:sty m:val="p"/>
            </m:rPr>
            <m:t>∈</m:t>
          </m:r>
          <m:r>
            <m:rPr>
              <m:sty m:val="p"/>
            </m:rPr>
            <m:t>(</m:t>
          </m:r>
          <m:r>
            <m:t>U</m:t>
          </m:r>
          <m:r>
            <m:rPr>
              <m:sty m:val="p"/>
            </m:rPr>
            <m:t>∩</m:t>
          </m:r>
          <m:r>
            <m:t>T</m:t>
          </m:r>
          <m:r>
            <m:rPr>
              <m:sty m:val="p"/>
            </m:rPr>
            <m:t>∩</m:t>
          </m:r>
          <m:r>
            <m:t>S</m:t>
          </m:r>
          <m:r>
            <m:rPr>
              <m:sty m:val="p"/>
            </m:rPr>
            <m:t>)</m:t>
          </m:r>
          <m:r>
            <m:rPr>
              <m:sty m:val="p"/>
            </m:rPr>
            <m:t>)</m:t>
          </m:r>
        </m:oMath>
      </m:oMathPara>
      <w:r>
        <w:rPr>
          <w:i/>
          <w:iCs/>
        </w:rPr>
        <w:t xml:space="preserve"> </w:t>
      </w:r>
      <w:r>
        <w:rPr>
          <w:i/>
          <w:iCs/>
        </w:rPr>
        <w:t xml:space="preserve">und zugleich:</w:t>
      </w:r>
      <w:r>
        <w:rPr>
          <w:i/>
          <w:iCs/>
        </w:rPr>
        <w:t xml:space="preserve"> </w:t>
      </w:r>
      <m:oMathPara>
        <m:oMathParaPr>
          <m:jc m:val="center"/>
        </m:oMathParaPr>
        <m:oMath>
          <m:r>
            <m:t>U</m:t>
          </m:r>
          <m:r>
            <m:rPr>
              <m:sty m:val="p"/>
            </m:rPr>
            <m:t>≠</m:t>
          </m:r>
          <m:r>
            <m:t>T</m:t>
          </m:r>
          <m:r>
            <m:rPr>
              <m:sty m:val="p"/>
            </m:rPr>
            <m:t>≠</m:t>
          </m:r>
          <m:r>
            <m:t>S</m:t>
          </m:r>
        </m:oMath>
      </m:oMathPara>
      <w:r>
        <w:rPr>
          <w:i/>
          <w:iCs/>
        </w:rPr>
        <w:t xml:space="preserve"> </w:t>
      </w:r>
      <w:r>
        <w:rPr>
          <w:i/>
          <w:iCs/>
        </w:rPr>
        <w:t xml:space="preserve">als strukturelle Rollen.</w:t>
      </w:r>
    </w:p>
    <w:bookmarkEnd w:id="21"/>
    <w:p>
      <w:pPr>
        <w:pStyle w:val="FirstParagraph"/>
      </w:pPr>
      <w:r>
        <w:rPr>
          <w:i/>
          <w:iCs/>
        </w:rPr>
        <w:t xml:space="preserve">Proof.</w:t>
      </w:r>
    </w:p>
    <w:p>
      <w:pPr>
        <w:numPr>
          <w:ilvl w:val="0"/>
          <w:numId w:val="1001"/>
        </w:numPr>
      </w:pPr>
      <w:r>
        <w:t xml:space="preserve">Aus M folgt die Existenz von</w:t>
      </w:r>
      <w:r>
        <w:t xml:space="preserve"> </w:t>
      </w:r>
      <m:oMath>
        <m:r>
          <m:t>U</m:t>
        </m:r>
      </m:oMath>
      <w:r>
        <w:t xml:space="preserve"> </w:t>
      </w:r>
      <w:r>
        <w:t xml:space="preserve">als Einheitsgrund (Definition</w:t>
      </w:r>
      <w:r>
        <w:t xml:space="preserve"> </w:t>
      </w:r>
      <w:hyperlink w:anchor="def:origin">
        <w:r>
          <w:rPr>
            <w:rStyle w:val="Hyperlink"/>
          </w:rPr>
          <w:t xml:space="preserve">4</w:t>
        </w:r>
      </w:hyperlink>
      <w:r>
        <w:t xml:space="preserve">).</w:t>
      </w:r>
    </w:p>
    <w:p>
      <w:pPr>
        <w:numPr>
          <w:ilvl w:val="0"/>
          <w:numId w:val="1001"/>
        </w:numPr>
      </w:pPr>
      <w:r>
        <w:t xml:space="preserve">Aus MR folgt die Existenz von</w:t>
      </w:r>
      <w:r>
        <w:t xml:space="preserve"> </w:t>
      </w:r>
      <m:oMath>
        <m:r>
          <m:t>T</m:t>
        </m:r>
      </m:oMath>
      <w:r>
        <w:t xml:space="preserve"> </w:t>
      </w:r>
      <w:r>
        <w:t xml:space="preserve">als Struktur der Möglichkeiten (Definition</w:t>
      </w:r>
      <w:r>
        <w:t xml:space="preserve"> </w:t>
      </w:r>
      <w:hyperlink w:anchor="def:totality">
        <w:r>
          <w:rPr>
            <w:rStyle w:val="Hyperlink"/>
          </w:rPr>
          <w:t xml:space="preserve">5</w:t>
        </w:r>
      </w:hyperlink>
      <w:r>
        <w:t xml:space="preserve">).</w:t>
      </w:r>
    </w:p>
    <w:p>
      <w:pPr>
        <w:numPr>
          <w:ilvl w:val="0"/>
          <w:numId w:val="1001"/>
        </w:numPr>
      </w:pPr>
      <w:r>
        <w:t xml:space="preserve">Aus R folgt die Existenz von</w:t>
      </w:r>
      <w:r>
        <w:t xml:space="preserve"> </w:t>
      </w:r>
      <m:oMath>
        <m:r>
          <m:t>S</m:t>
        </m:r>
      </m:oMath>
      <w:r>
        <w:t xml:space="preserve"> </w:t>
      </w:r>
      <w:r>
        <w:t xml:space="preserve">als reflexive Repräsentation von</w:t>
      </w:r>
      <w:r>
        <w:t xml:space="preserve"> </w:t>
      </w:r>
      <m:oMath>
        <m:r>
          <m:t>T</m:t>
        </m:r>
      </m:oMath>
      <w:r>
        <w:t xml:space="preserve"> </w:t>
      </w:r>
      <w:r>
        <w:t xml:space="preserve">(Definition</w:t>
      </w:r>
      <w:r>
        <w:t xml:space="preserve"> </w:t>
      </w:r>
      <w:hyperlink w:anchor="def:selfknowledge">
        <w:r>
          <w:rPr>
            <w:rStyle w:val="Hyperlink"/>
          </w:rPr>
          <w:t xml:space="preserve">6</w:t>
        </w:r>
      </w:hyperlink>
      <w:r>
        <w:t xml:space="preserve">).</w:t>
      </w:r>
    </w:p>
    <w:p>
      <w:pPr>
        <w:numPr>
          <w:ilvl w:val="0"/>
          <w:numId w:val="1001"/>
        </w:numPr>
      </w:pPr>
      <w:r>
        <w:t xml:space="preserve">Da</w:t>
      </w:r>
      <w:r>
        <w:t xml:space="preserve"> </w:t>
      </w:r>
      <m:oMath>
        <m:r>
          <m:t>T</m:t>
        </m:r>
      </m:oMath>
      <w:r>
        <w:t xml:space="preserve"> </w:t>
      </w:r>
      <w:r>
        <w:t xml:space="preserve">die Entfaltung von</w:t>
      </w:r>
      <w:r>
        <w:t xml:space="preserve"> </w:t>
      </w:r>
      <m:oMath>
        <m:r>
          <m:t>U</m:t>
        </m:r>
      </m:oMath>
      <w:r>
        <w:t xml:space="preserve"> </w:t>
      </w:r>
      <w:r>
        <w:t xml:space="preserve">ist, und</w:t>
      </w:r>
      <w:r>
        <w:t xml:space="preserve"> </w:t>
      </w:r>
      <m:oMath>
        <m:r>
          <m:t>S</m:t>
        </m:r>
      </m:oMath>
      <w:r>
        <w:t xml:space="preserve"> </w:t>
      </w:r>
      <w:r>
        <w:t xml:space="preserve">die reflexive Erkenntnis von</w:t>
      </w:r>
      <w:r>
        <w:t xml:space="preserve"> </w:t>
      </w:r>
      <m:oMath>
        <m:r>
          <m:t>T</m:t>
        </m:r>
      </m:oMath>
      <w:r>
        <w:t xml:space="preserve"> </w:t>
      </w:r>
      <w:r>
        <w:t xml:space="preserve">als</w:t>
      </w:r>
      <w:r>
        <w:t xml:space="preserve"> </w:t>
      </w:r>
      <m:oMath>
        <m:r>
          <m:t>U</m:t>
        </m:r>
      </m:oMath>
      <w:r>
        <w:t xml:space="preserve">, sind alle drei Momente auf dieselbe Wirklichkeit</w:t>
      </w:r>
      <w:r>
        <w:t xml:space="preserve"> </w:t>
      </w:r>
      <m:oMath>
        <m:r>
          <m:t>E</m:t>
        </m:r>
      </m:oMath>
      <w:r>
        <w:t xml:space="preserve"> </w:t>
      </w:r>
      <w:r>
        <w:t xml:space="preserve">bezogen.</w:t>
      </w:r>
    </w:p>
    <w:p>
      <w:pPr>
        <w:numPr>
          <w:ilvl w:val="0"/>
          <w:numId w:val="1001"/>
        </w:numPr>
      </w:pPr>
      <w:r>
        <w:t xml:space="preserve">Dennoch sind sie strukturell unterscheidbar:</w:t>
      </w:r>
      <w:r>
        <w:t xml:space="preserve"> </w:t>
      </w:r>
      <m:oMath>
        <m:r>
          <m:t>U</m:t>
        </m:r>
      </m:oMath>
      <w:r>
        <w:t xml:space="preserve"> </w:t>
      </w:r>
      <w:r>
        <w:t xml:space="preserve">ist der reine Einheitsgrund,</w:t>
      </w:r>
      <w:r>
        <w:t xml:space="preserve"> </w:t>
      </w:r>
      <m:oMath>
        <m:r>
          <m:t>T</m:t>
        </m:r>
      </m:oMath>
      <w:r>
        <w:t xml:space="preserve"> </w:t>
      </w:r>
      <w:r>
        <w:t xml:space="preserve">ist die Fülle der Möglichkeiten,</w:t>
      </w:r>
      <w:r>
        <w:t xml:space="preserve"> </w:t>
      </w:r>
      <m:oMath>
        <m:r>
          <m:t>S</m:t>
        </m:r>
      </m:oMath>
      <w:r>
        <w:t xml:space="preserve"> </w:t>
      </w:r>
      <w:r>
        <w:t xml:space="preserve">ist die reflexive Selbstwerdung.</w:t>
      </w:r>
    </w:p>
    <w:p>
      <w:pPr>
        <w:pStyle w:val="FirstParagraph"/>
      </w:pPr>
      <w:r>
        <w:t xml:space="preserve"> ◻</w:t>
      </w:r>
    </w:p>
    <w:bookmarkStart w:id="22" w:name="cor:unity"/>
    <w:p>
      <w:pPr>
        <w:pStyle w:val="BodyText"/>
      </w:pPr>
      <w:r>
        <w:rPr>
          <w:b/>
          <w:bCs/>
        </w:rPr>
        <w:t xml:space="preserve">Korollar 8</w:t>
      </w:r>
      <w:r>
        <w:t xml:space="preserve"> </w:t>
      </w:r>
      <w:r>
        <w:t xml:space="preserve">(Die Einheit der Struktur).</w:t>
      </w:r>
      <w:r>
        <w:t xml:space="preserve"> </w:t>
      </w:r>
      <w:r>
        <w:t xml:space="preserve"> </w:t>
      </w:r>
      <w:r>
        <w:rPr>
          <w:i/>
          <w:iCs/>
        </w:rPr>
        <w:t xml:space="preserve">Die drei Momente</w:t>
      </w:r>
      <w:r>
        <w:rPr>
          <w:i/>
          <w:iCs/>
        </w:rPr>
        <w:t xml:space="preserve"> </w:t>
      </w:r>
      <m:oMath>
        <m:r>
          <m:t>U</m:t>
        </m:r>
        <m:r>
          <m:rPr>
            <m:sty m:val="p"/>
          </m:rPr>
          <m:t>,</m:t>
        </m:r>
        <m:r>
          <m:t>T</m:t>
        </m:r>
        <m:r>
          <m:rPr>
            <m:sty m:val="p"/>
          </m:rPr>
          <m:t>,</m:t>
        </m:r>
        <m:r>
          <m:t>S</m:t>
        </m:r>
      </m:oMath>
      <w:r>
        <w:rPr>
          <w:i/>
          <w:iCs/>
        </w:rPr>
        <w:t xml:space="preserve"> </w:t>
      </w:r>
      <w:r>
        <w:rPr>
          <w:i/>
          <w:iCs/>
        </w:rPr>
        <w:t xml:space="preserve">sind nicht drei Substanzen, sondern drei notwendige Perspektiven ein und derselben Wirklichkeit</w:t>
      </w:r>
      <w:r>
        <w:rPr>
          <w:i/>
          <w:iCs/>
        </w:rPr>
        <w:t xml:space="preserve"> </w:t>
      </w:r>
      <m:oMath>
        <m:r>
          <m:t>E</m:t>
        </m:r>
      </m:oMath>
      <w:r>
        <w:rPr>
          <w:i/>
          <w:iCs/>
        </w:rPr>
        <w:t xml:space="preserve">.</w:t>
      </w:r>
      <w:r>
        <w:rPr>
          <w:i/>
          <w:iCs/>
        </w:rPr>
        <w:t xml:space="preserve"> </w:t>
      </w:r>
      <m:oMathPara>
        <m:oMathParaPr>
          <m:jc m:val="center"/>
        </m:oMathParaPr>
        <m:oMath>
          <m:r>
            <m:t>E</m:t>
          </m:r>
          <m:r>
            <m:rPr>
              <m:sty m:val="p"/>
            </m:rPr>
            <m:t>≡</m:t>
          </m:r>
          <m:r>
            <m:t>U</m:t>
          </m:r>
          <m:r>
            <m:rPr>
              <m:sty m:val="p"/>
            </m:rPr>
            <m:t>∧</m:t>
          </m:r>
          <m:r>
            <m:t>T</m:t>
          </m:r>
          <m:r>
            <m:rPr>
              <m:sty m:val="p"/>
            </m:rPr>
            <m:t>∧</m:t>
          </m:r>
          <m:r>
            <m:t>S</m:t>
          </m:r>
        </m:oMath>
      </m:oMathPara>
    </w:p>
    <w:bookmarkEnd w:id="22"/>
    <w:bookmarkEnd w:id="23"/>
    <w:bookmarkStart w:id="24" w:name="metatheoretische-einordnung"/>
    <w:p>
      <w:pPr>
        <w:pStyle w:val="Heading1"/>
      </w:pPr>
      <w:r>
        <w:t xml:space="preserve">Metatheoretische Einordnung</w:t>
      </w:r>
    </w:p>
    <w:p>
      <w:pPr>
        <w:pStyle w:val="FirstParagraph"/>
      </w:pPr>
      <w:r>
        <w:t xml:space="preserve">Diese Analyse zeigt, dass die trinitarische Struktur tiefer in der Ontologie verankert ist als in den vorherigen Versionen angenommen. Sie ist nicht das Ergebnis einer spezifischen Axiomkonfiguration, sondern eine notwendige Konsequenz der grundlegenden Prinzipien von Einheit, Modalität und Reflexivität.</w:t>
      </w:r>
    </w:p>
    <w:p>
      <w:pPr>
        <w:pStyle w:val="BodyText"/>
      </w:pPr>
      <w:r>
        <w:t xml:space="preserve">Die vorherigen Versionen (1–5) waren konstruktiv: Sie zeigten,</w:t>
      </w:r>
      <w:r>
        <w:t xml:space="preserve"> </w:t>
      </w:r>
      <w:r>
        <w:rPr>
          <w:i/>
          <w:iCs/>
        </w:rPr>
        <w:t xml:space="preserve">dass</w:t>
      </w:r>
      <w:r>
        <w:t xml:space="preserve"> </w:t>
      </w:r>
      <w:r>
        <w:t xml:space="preserve">die Trinität unter bestimmten Axiomen folgt. Modul 6 ist strukturell: Es zeigt,</w:t>
      </w:r>
      <w:r>
        <w:t xml:space="preserve"> </w:t>
      </w:r>
      <w:r>
        <w:rPr>
          <w:i/>
          <w:iCs/>
        </w:rPr>
        <w:t xml:space="preserve">warum</w:t>
      </w:r>
      <w:r>
        <w:t xml:space="preserve"> </w:t>
      </w:r>
      <w:r>
        <w:t xml:space="preserve">sie folgt – nämlich weil jede sich selbst reflektierende, mögliche Welten enthaltende Einheit notwendigerweise diese drei Momente ausbilden muss.</w:t>
      </w:r>
    </w:p>
    <w:bookmarkEnd w:id="24"/>
    <w:bookmarkStart w:id="25" w:name="ausblick-die-theologische-interpretation"/>
    <w:p>
      <w:pPr>
        <w:pStyle w:val="Heading1"/>
      </w:pPr>
      <w:r>
        <w:t xml:space="preserve">Ausblick: Die theologische Interpretation</w:t>
      </w:r>
    </w:p>
    <w:p>
      <w:pPr>
        <w:pStyle w:val="FirstParagraph"/>
      </w:pPr>
      <w:r>
        <w:t xml:space="preserve">Die formale Struktur ist nun klar. Die Frage der Interpretation bleibt offen.</w:t>
      </w:r>
    </w:p>
    <w:p>
      <w:pPr>
        <w:numPr>
          <w:ilvl w:val="0"/>
          <w:numId w:val="1002"/>
        </w:numPr>
      </w:pPr>
      <w:r>
        <w:t xml:space="preserve">Eine metaphysische Interpretation könnte</w:t>
      </w:r>
      <w:r>
        <w:t xml:space="preserve"> </w:t>
      </w:r>
      <m:oMath>
        <m:r>
          <m:t>U</m:t>
        </m:r>
      </m:oMath>
      <w:r>
        <w:t xml:space="preserve"> </w:t>
      </w:r>
      <w:r>
        <w:t xml:space="preserve">als das Sein selbst,</w:t>
      </w:r>
      <w:r>
        <w:t xml:space="preserve"> </w:t>
      </w:r>
      <m:oMath>
        <m:r>
          <m:t>T</m:t>
        </m:r>
      </m:oMath>
      <w:r>
        <w:t xml:space="preserve"> </w:t>
      </w:r>
      <w:r>
        <w:t xml:space="preserve">als die Seinsfülle und</w:t>
      </w:r>
      <w:r>
        <w:t xml:space="preserve"> </w:t>
      </w:r>
      <m:oMath>
        <m:r>
          <m:t>S</m:t>
        </m:r>
      </m:oMath>
      <w:r>
        <w:t xml:space="preserve"> </w:t>
      </w:r>
      <w:r>
        <w:t xml:space="preserve">als das sich selbst erkennende Sein verstehen.</w:t>
      </w:r>
    </w:p>
    <w:p>
      <w:pPr>
        <w:numPr>
          <w:ilvl w:val="0"/>
          <w:numId w:val="1002"/>
        </w:numPr>
      </w:pPr>
      <w:r>
        <w:t xml:space="preserve">Eine theologische Interpretation könnte diese Struktur als Spur der Trinität in der Schöpfung deuten.</w:t>
      </w:r>
    </w:p>
    <w:p>
      <w:pPr>
        <w:numPr>
          <w:ilvl w:val="0"/>
          <w:numId w:val="1002"/>
        </w:numPr>
      </w:pPr>
      <w:r>
        <w:t xml:space="preserve">Eine informationstheoretische Interpretation könnte</w:t>
      </w:r>
      <w:r>
        <w:t xml:space="preserve"> </w:t>
      </w:r>
      <m:oMath>
        <m:r>
          <m:t>U</m:t>
        </m:r>
      </m:oMath>
      <w:r>
        <w:t xml:space="preserve"> </w:t>
      </w:r>
      <w:r>
        <w:t xml:space="preserve">als die Quelle der Information,</w:t>
      </w:r>
      <w:r>
        <w:t xml:space="preserve"> </w:t>
      </w:r>
      <m:oMath>
        <m:r>
          <m:t>T</m:t>
        </m:r>
      </m:oMath>
      <w:r>
        <w:t xml:space="preserve"> </w:t>
      </w:r>
      <w:r>
        <w:t xml:space="preserve">als den Informationsraum und</w:t>
      </w:r>
      <w:r>
        <w:t xml:space="preserve"> </w:t>
      </w:r>
      <m:oMath>
        <m:r>
          <m:t>S</m:t>
        </m:r>
      </m:oMath>
      <w:r>
        <w:t xml:space="preserve"> </w:t>
      </w:r>
      <w:r>
        <w:t xml:space="preserve">als den Prozess der Selbstorganisation sehen.</w:t>
      </w:r>
    </w:p>
    <w:p>
      <w:pPr>
        <w:pStyle w:val="FirstParagraph"/>
      </w:pPr>
      <w:r>
        <w:t xml:space="preserve">Modul 6 liefert die formale Struktur. Die Interpretation bleibt Sache des Lesers – und das ist, wie es sein sollte.</w:t>
      </w:r>
    </w:p>
    <w:bookmarkEnd w:id="25"/>
    <w:bookmarkStart w:id="26" w:name="fazit"/>
    <w:p>
      <w:pPr>
        <w:pStyle w:val="Heading1"/>
      </w:pPr>
      <w:r>
        <w:t xml:space="preserve">Fazit</w:t>
      </w:r>
    </w:p>
    <w:p>
      <w:pPr>
        <w:pStyle w:val="FirstParagraph"/>
      </w:pPr>
      <w:r>
        <w:t xml:space="preserve">Modul 6 stellt den Übergang von der konstruktiven Axiomatik zur strukturellen Analyse dar. Es zeigt, dass die drei Momente von Ursprung, Totalität und Selbsterkenntnis nicht bloß postuliert werden müssen, sondern aus den grundlegenden Prinzipien einer monistischen, modal-realistischen und reflexiven Ontologie</w:t>
      </w:r>
      <w:r>
        <w:t xml:space="preserve"> </w:t>
      </w:r>
      <w:r>
        <w:rPr>
          <w:i/>
          <w:iCs/>
        </w:rPr>
        <w:t xml:space="preserve">emergieren</w:t>
      </w:r>
      <w:r>
        <w:t xml:space="preserve">. Die Trinität ist nicht nur eine mögliche Struktur – sie ist, unter diesen Bedingungen, eine notwendige.</w:t>
      </w:r>
    </w:p>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 6: Die Strukturanalyse einer monistischen Modalontologie Von der konstruktiven Axiomatik zur strukturellen Emergenz</dc:title>
  <dc:creator>Paul Koop</dc:creator>
  <cp:keywords/>
  <dcterms:created xsi:type="dcterms:W3CDTF">2026-08-24T12:14:17Z</dcterms:created>
  <dcterms:modified xsi:type="dcterms:W3CDTF">2026-08-24T12:14:17Z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Dieses Modul stellt den nächsten Schritt über die konstruktive Axiomatik der Versionen 1–5 dar. Statt zu fragen, welche Axiome hinzugefügt werden müssen, um eine trinitarische Struktur zu erhalten, fragen wir: Welche minimalen strukturellen Bedingungen muss eine monistische Modalontologie erfüllen, damit die drei Rollen von Ursprung (U), Totalität (T) und Selbsterkenntnis (S) als notwendige Perspektiven ein und derselben Wirklichkeit emergieren? Wir zeigen, dass aus den Prinzipien des Monismus, der modal-realistischen Möglichkeit und der reflexiven Selbstbezüglichkeit die drei Strukturmomente U, T und S nicht bloß postuliert, sondern als strukturell unterschieden und doch untrennbar abgeleitet werden können.</vt:lpwstr>
  </property>
  <property fmtid="{D5CDD505-2E9C-101B-9397-08002B2CF9AE}" pid="3" name="date">
    <vt:lpwstr>2026-08-24</vt:lpwstr>
  </property>
</Properties>
</file>